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DDED" w14:textId="60A659E2" w:rsidR="00F94861" w:rsidRPr="00A0567E" w:rsidRDefault="00D673B8" w:rsidP="2F49E51F">
      <w:pPr>
        <w:pStyle w:val="Frontpageheader1"/>
        <w:jc w:val="center"/>
      </w:pPr>
      <w:r>
        <w:t xml:space="preserve">Urenco UK </w:t>
      </w:r>
      <w:r w:rsidR="0012105B">
        <w:t>Pension Scheme</w:t>
      </w:r>
    </w:p>
    <w:p w14:paraId="5078DDEE" w14:textId="1C3069C0" w:rsidR="009A33B8" w:rsidRDefault="0042717A" w:rsidP="00FE2F16">
      <w:pPr>
        <w:pStyle w:val="Frontpageheader1"/>
      </w:pPr>
      <w:r>
        <w:t xml:space="preserve">Chair’s </w:t>
      </w:r>
      <w:r w:rsidR="0067646D">
        <w:t>s</w:t>
      </w:r>
      <w:r w:rsidR="00F94861" w:rsidRPr="005D46F7">
        <w:t xml:space="preserve">tatement </w:t>
      </w:r>
      <w:r>
        <w:t xml:space="preserve">regarding the governance of </w:t>
      </w:r>
      <w:r w:rsidR="009A33B8">
        <w:t xml:space="preserve">defined contribution </w:t>
      </w:r>
      <w:r w:rsidR="0012105B">
        <w:t>arrangements</w:t>
      </w:r>
    </w:p>
    <w:p w14:paraId="5078DDEF" w14:textId="4FFB2F4A" w:rsidR="00F94861" w:rsidRPr="005D46F7" w:rsidRDefault="0042717A" w:rsidP="00847A5D">
      <w:pPr>
        <w:pStyle w:val="Frontpageheader1"/>
        <w:jc w:val="center"/>
      </w:pPr>
      <w:r>
        <w:t xml:space="preserve">Scheme year - </w:t>
      </w:r>
      <w:r w:rsidR="00D673B8">
        <w:t>6</w:t>
      </w:r>
      <w:r w:rsidR="009532C3" w:rsidRPr="005D46F7">
        <w:t xml:space="preserve"> April </w:t>
      </w:r>
      <w:r w:rsidR="00B94A91" w:rsidRPr="005D46F7">
        <w:t>20</w:t>
      </w:r>
      <w:r w:rsidR="00D673B8">
        <w:t>2</w:t>
      </w:r>
      <w:r w:rsidR="00222128">
        <w:t>2</w:t>
      </w:r>
      <w:r w:rsidR="00D673B8">
        <w:t xml:space="preserve">1 </w:t>
      </w:r>
      <w:r w:rsidR="009532C3" w:rsidRPr="005D46F7">
        <w:t xml:space="preserve">to </w:t>
      </w:r>
      <w:r w:rsidR="00D673B8">
        <w:t xml:space="preserve">5 April </w:t>
      </w:r>
      <w:r w:rsidR="00222128">
        <w:t>2023</w:t>
      </w:r>
    </w:p>
    <w:p w14:paraId="5078DDF0" w14:textId="36A68C7B" w:rsidR="00A34462" w:rsidRDefault="00572FBF" w:rsidP="00A34462">
      <w:pPr>
        <w:pStyle w:val="BodyText"/>
        <w:rPr>
          <w:rFonts w:asciiTheme="majorHAnsi" w:eastAsiaTheme="majorEastAsia" w:hAnsiTheme="majorHAnsi"/>
          <w:b/>
          <w:bCs/>
          <w:iCs/>
          <w:color w:val="009FE3" w:themeColor="background2"/>
          <w:sz w:val="28"/>
          <w:szCs w:val="28"/>
          <w:lang w:eastAsia="en-GB" w:bidi="ar-SA"/>
        </w:rPr>
      </w:pPr>
      <w:r>
        <w:rPr>
          <w:rFonts w:asciiTheme="majorHAnsi" w:eastAsiaTheme="majorEastAsia" w:hAnsiTheme="majorHAnsi"/>
          <w:b/>
          <w:bCs/>
          <w:iCs/>
          <w:noProof/>
          <w:color w:val="009FE3" w:themeColor="background2"/>
          <w:sz w:val="28"/>
          <w:szCs w:val="28"/>
          <w:lang w:eastAsia="en-GB" w:bidi="ar-SA"/>
        </w:rPr>
        <mc:AlternateContent>
          <mc:Choice Requires="wps">
            <w:drawing>
              <wp:anchor distT="0" distB="0" distL="114300" distR="114300" simplePos="0" relativeHeight="251658240" behindDoc="0" locked="0" layoutInCell="1" allowOverlap="1" wp14:anchorId="5078DE2A" wp14:editId="5078DE2B">
                <wp:simplePos x="0" y="0"/>
                <wp:positionH relativeFrom="column">
                  <wp:posOffset>-5715</wp:posOffset>
                </wp:positionH>
                <wp:positionV relativeFrom="paragraph">
                  <wp:posOffset>113030</wp:posOffset>
                </wp:positionV>
                <wp:extent cx="6346190" cy="0"/>
                <wp:effectExtent l="0" t="19050" r="1651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straightConnector1">
                          <a:avLst/>
                        </a:prstGeom>
                        <a:noFill/>
                        <a:ln w="317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65F96" id="_x0000_t32" coordsize="21600,21600" o:spt="32" o:oned="t" path="m,l21600,21600e" filled="f">
                <v:path arrowok="t" fillok="f" o:connecttype="none"/>
                <o:lock v:ext="edit" shapetype="t"/>
              </v:shapetype>
              <v:shape id="AutoShape 6" o:spid="_x0000_s1026" type="#_x0000_t32" style="position:absolute;margin-left:-.45pt;margin-top:8.9pt;width:49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" strokecolor="#41c0f0 [3204]" strokeweight="2.5pt"/>
            </w:pict>
          </mc:Fallback>
        </mc:AlternateContent>
      </w:r>
    </w:p>
    <w:p w14:paraId="5078DDF1" w14:textId="77777777" w:rsidR="00A34462" w:rsidRPr="005D46F7" w:rsidRDefault="00E75E63" w:rsidP="006B4574">
      <w:pPr>
        <w:pStyle w:val="Heading1"/>
        <w:numPr>
          <w:ilvl w:val="0"/>
          <w:numId w:val="5"/>
        </w:numPr>
      </w:pPr>
      <w:r w:rsidRPr="00847A5D">
        <w:t>Introduction</w:t>
      </w:r>
      <w:r w:rsidRPr="005D46F7">
        <w:t xml:space="preserve"> </w:t>
      </w:r>
    </w:p>
    <w:p w14:paraId="4A54ED5B" w14:textId="71C994BC" w:rsidR="00960AF1" w:rsidRDefault="00E75E63" w:rsidP="00B217D5">
      <w:pPr>
        <w:pStyle w:val="Level2"/>
        <w:numPr>
          <w:ilvl w:val="1"/>
          <w:numId w:val="5"/>
        </w:numPr>
        <w:spacing w:after="120" w:line="264" w:lineRule="auto"/>
        <w:ind w:left="567" w:hanging="567"/>
        <w:rPr>
          <w:rFonts w:ascii="Segoe UI" w:hAnsi="Segoe UI" w:cs="Segoe UI"/>
          <w:sz w:val="20"/>
          <w:szCs w:val="20"/>
        </w:rPr>
      </w:pPr>
      <w:r w:rsidRPr="00D70636">
        <w:rPr>
          <w:rFonts w:ascii="Segoe UI" w:hAnsi="Segoe UI" w:cs="Segoe UI"/>
          <w:sz w:val="20"/>
          <w:szCs w:val="20"/>
        </w:rPr>
        <w:t xml:space="preserve">This statement has been prepared by </w:t>
      </w:r>
      <w:r w:rsidR="00D673B8">
        <w:rPr>
          <w:rFonts w:ascii="Segoe UI" w:hAnsi="Segoe UI" w:cs="Segoe UI"/>
          <w:sz w:val="20"/>
          <w:szCs w:val="20"/>
        </w:rPr>
        <w:t xml:space="preserve">Urenco UK Pension Trustee Company </w:t>
      </w:r>
      <w:r w:rsidR="000A0BCE" w:rsidRPr="00A230A0">
        <w:rPr>
          <w:rFonts w:ascii="Segoe UI" w:hAnsi="Segoe UI" w:cs="Segoe UI"/>
          <w:sz w:val="20"/>
          <w:szCs w:val="20"/>
        </w:rPr>
        <w:t>Limited (“</w:t>
      </w:r>
      <w:r w:rsidRPr="00A230A0">
        <w:rPr>
          <w:rFonts w:ascii="Segoe UI" w:hAnsi="Segoe UI" w:cs="Segoe UI"/>
          <w:sz w:val="20"/>
          <w:szCs w:val="20"/>
        </w:rPr>
        <w:t xml:space="preserve">the </w:t>
      </w:r>
      <w:r w:rsidR="0042717A" w:rsidRPr="00A230A0">
        <w:rPr>
          <w:rFonts w:ascii="Segoe UI" w:hAnsi="Segoe UI" w:cs="Segoe UI"/>
          <w:sz w:val="20"/>
          <w:szCs w:val="20"/>
        </w:rPr>
        <w:t>Trustee</w:t>
      </w:r>
      <w:r w:rsidR="000A0BCE" w:rsidRPr="00A230A0">
        <w:rPr>
          <w:rFonts w:ascii="Segoe UI" w:hAnsi="Segoe UI" w:cs="Segoe UI"/>
          <w:sz w:val="20"/>
          <w:szCs w:val="20"/>
        </w:rPr>
        <w:t xml:space="preserve">”), the Trustee </w:t>
      </w:r>
      <w:r w:rsidR="0042717A" w:rsidRPr="00D70636">
        <w:rPr>
          <w:rFonts w:ascii="Segoe UI" w:hAnsi="Segoe UI" w:cs="Segoe UI"/>
          <w:sz w:val="20"/>
          <w:szCs w:val="20"/>
        </w:rPr>
        <w:t xml:space="preserve">of the </w:t>
      </w:r>
      <w:r w:rsidR="00D673B8">
        <w:rPr>
          <w:rFonts w:ascii="Segoe UI" w:hAnsi="Segoe UI" w:cs="Segoe UI"/>
          <w:sz w:val="20"/>
          <w:szCs w:val="20"/>
        </w:rPr>
        <w:t>Urenco UK Pension Scheme</w:t>
      </w:r>
      <w:r w:rsidR="0042717A" w:rsidRPr="00D70636">
        <w:rPr>
          <w:rFonts w:ascii="Segoe UI" w:hAnsi="Segoe UI" w:cs="Segoe UI"/>
          <w:sz w:val="20"/>
          <w:szCs w:val="20"/>
        </w:rPr>
        <w:t xml:space="preserve"> </w:t>
      </w:r>
      <w:r w:rsidR="009A33B8" w:rsidRPr="00D70636">
        <w:rPr>
          <w:rFonts w:ascii="Segoe UI" w:hAnsi="Segoe UI" w:cs="Segoe UI"/>
          <w:sz w:val="20"/>
          <w:szCs w:val="20"/>
        </w:rPr>
        <w:t xml:space="preserve">(“the </w:t>
      </w:r>
      <w:r w:rsidR="0042717A" w:rsidRPr="00D70636">
        <w:rPr>
          <w:rFonts w:ascii="Segoe UI" w:hAnsi="Segoe UI" w:cs="Segoe UI"/>
          <w:sz w:val="20"/>
          <w:szCs w:val="20"/>
        </w:rPr>
        <w:t>Scheme</w:t>
      </w:r>
      <w:r w:rsidR="009A33B8" w:rsidRPr="00D70636">
        <w:rPr>
          <w:rFonts w:ascii="Segoe UI" w:hAnsi="Segoe UI" w:cs="Segoe UI"/>
          <w:sz w:val="20"/>
          <w:szCs w:val="20"/>
        </w:rPr>
        <w:t>”)</w:t>
      </w:r>
      <w:r w:rsidR="00960AF1">
        <w:rPr>
          <w:rFonts w:ascii="Segoe UI" w:hAnsi="Segoe UI" w:cs="Segoe UI"/>
          <w:sz w:val="20"/>
          <w:szCs w:val="20"/>
        </w:rPr>
        <w:t>,</w:t>
      </w:r>
      <w:r w:rsidR="009A33B8" w:rsidRPr="00D70636">
        <w:rPr>
          <w:rFonts w:ascii="Segoe UI" w:hAnsi="Segoe UI" w:cs="Segoe UI"/>
          <w:sz w:val="20"/>
          <w:szCs w:val="20"/>
        </w:rPr>
        <w:t xml:space="preserve"> </w:t>
      </w:r>
      <w:r w:rsidR="00A0567E" w:rsidRPr="00D70636">
        <w:rPr>
          <w:rFonts w:ascii="Segoe UI" w:hAnsi="Segoe UI" w:cs="Segoe UI"/>
          <w:sz w:val="20"/>
          <w:szCs w:val="20"/>
        </w:rPr>
        <w:t xml:space="preserve">to </w:t>
      </w:r>
      <w:r w:rsidR="009A33B8" w:rsidRPr="00D70636">
        <w:rPr>
          <w:rFonts w:ascii="Segoe UI" w:hAnsi="Segoe UI" w:cs="Segoe UI"/>
          <w:sz w:val="20"/>
          <w:szCs w:val="20"/>
        </w:rPr>
        <w:t xml:space="preserve">report on </w:t>
      </w:r>
      <w:r w:rsidR="00FD1AA9" w:rsidRPr="00D70636">
        <w:rPr>
          <w:rFonts w:ascii="Segoe UI" w:hAnsi="Segoe UI" w:cs="Segoe UI"/>
          <w:sz w:val="20"/>
          <w:szCs w:val="20"/>
        </w:rPr>
        <w:t>compl</w:t>
      </w:r>
      <w:r w:rsidR="00A0567E" w:rsidRPr="00D70636">
        <w:rPr>
          <w:rFonts w:ascii="Segoe UI" w:hAnsi="Segoe UI" w:cs="Segoe UI"/>
          <w:sz w:val="20"/>
          <w:szCs w:val="20"/>
        </w:rPr>
        <w:t>iance</w:t>
      </w:r>
      <w:r w:rsidR="00FD1AA9" w:rsidRPr="00D70636">
        <w:rPr>
          <w:rFonts w:ascii="Segoe UI" w:hAnsi="Segoe UI" w:cs="Segoe UI"/>
          <w:sz w:val="20"/>
          <w:szCs w:val="20"/>
        </w:rPr>
        <w:t xml:space="preserve"> with </w:t>
      </w:r>
      <w:r w:rsidR="00632B5C" w:rsidRPr="00D70636">
        <w:rPr>
          <w:rFonts w:ascii="Segoe UI" w:hAnsi="Segoe UI" w:cs="Segoe UI"/>
          <w:sz w:val="20"/>
          <w:szCs w:val="20"/>
        </w:rPr>
        <w:t>governance standards</w:t>
      </w:r>
      <w:r w:rsidR="00960AF1">
        <w:rPr>
          <w:rFonts w:ascii="Segoe UI" w:hAnsi="Segoe UI" w:cs="Segoe UI"/>
          <w:sz w:val="20"/>
          <w:szCs w:val="20"/>
        </w:rPr>
        <w:t>.</w:t>
      </w:r>
    </w:p>
    <w:p w14:paraId="49FEE05F" w14:textId="0F03FC36" w:rsidR="007F52DC" w:rsidRPr="006E39D2" w:rsidRDefault="00960AF1" w:rsidP="00B217D5">
      <w:pPr>
        <w:pStyle w:val="Level2"/>
        <w:numPr>
          <w:ilvl w:val="1"/>
          <w:numId w:val="5"/>
        </w:numPr>
        <w:spacing w:after="120" w:line="264" w:lineRule="auto"/>
        <w:ind w:left="567" w:hanging="567"/>
        <w:rPr>
          <w:rFonts w:ascii="Segoe UI" w:hAnsi="Segoe UI" w:cs="Segoe UI"/>
          <w:sz w:val="20"/>
          <w:szCs w:val="20"/>
        </w:rPr>
      </w:pPr>
      <w:r>
        <w:rPr>
          <w:rFonts w:ascii="Segoe UI" w:hAnsi="Segoe UI" w:cs="Segoe UI"/>
          <w:sz w:val="20"/>
          <w:szCs w:val="20"/>
        </w:rPr>
        <w:t xml:space="preserve">The governance standards </w:t>
      </w:r>
      <w:r w:rsidR="006B6C0A">
        <w:rPr>
          <w:rFonts w:ascii="Segoe UI" w:hAnsi="Segoe UI" w:cs="Segoe UI"/>
          <w:sz w:val="20"/>
          <w:szCs w:val="20"/>
        </w:rPr>
        <w:t xml:space="preserve">apply to </w:t>
      </w:r>
      <w:r w:rsidR="006B6C0A" w:rsidRPr="00D70636">
        <w:rPr>
          <w:rFonts w:ascii="Segoe UI" w:hAnsi="Segoe UI" w:cs="Segoe UI"/>
          <w:sz w:val="20"/>
          <w:szCs w:val="20"/>
        </w:rPr>
        <w:t>defined contribution (DC)</w:t>
      </w:r>
      <w:r w:rsidR="006B6C0A">
        <w:rPr>
          <w:rFonts w:ascii="Segoe UI" w:hAnsi="Segoe UI" w:cs="Segoe UI"/>
          <w:sz w:val="20"/>
          <w:szCs w:val="20"/>
        </w:rPr>
        <w:t xml:space="preserve"> arrangements and are designed</w:t>
      </w:r>
      <w:r>
        <w:rPr>
          <w:rFonts w:ascii="Segoe UI" w:hAnsi="Segoe UI" w:cs="Segoe UI"/>
          <w:sz w:val="20"/>
          <w:szCs w:val="20"/>
        </w:rPr>
        <w:t xml:space="preserve"> to help members achieve good outcomes from their </w:t>
      </w:r>
      <w:r w:rsidR="006B6C0A">
        <w:rPr>
          <w:rFonts w:ascii="Segoe UI" w:hAnsi="Segoe UI" w:cs="Segoe UI"/>
          <w:sz w:val="20"/>
          <w:szCs w:val="20"/>
        </w:rPr>
        <w:t>pension savings.</w:t>
      </w:r>
      <w:r>
        <w:rPr>
          <w:rFonts w:ascii="Segoe UI" w:hAnsi="Segoe UI" w:cs="Segoe UI"/>
          <w:sz w:val="20"/>
          <w:szCs w:val="20"/>
        </w:rPr>
        <w:t xml:space="preserve"> </w:t>
      </w:r>
    </w:p>
    <w:p w14:paraId="72057AAC" w14:textId="1DEC066F" w:rsidR="007F52DC" w:rsidRPr="00A144AB" w:rsidRDefault="007F52DC" w:rsidP="00B217D5">
      <w:pPr>
        <w:pStyle w:val="Level2"/>
        <w:numPr>
          <w:ilvl w:val="1"/>
          <w:numId w:val="5"/>
        </w:numPr>
        <w:spacing w:after="120" w:line="264" w:lineRule="auto"/>
        <w:ind w:left="567" w:hanging="567"/>
      </w:pPr>
      <w:r w:rsidRPr="007F52DC">
        <w:rPr>
          <w:rFonts w:ascii="Segoe UI" w:hAnsi="Segoe UI" w:cs="Segoe UI"/>
          <w:sz w:val="20"/>
          <w:szCs w:val="20"/>
        </w:rPr>
        <w:t>This</w:t>
      </w:r>
      <w:r w:rsidRPr="00960AF1">
        <w:rPr>
          <w:rFonts w:ascii="Segoe UI" w:hAnsi="Segoe UI" w:cs="Segoe UI"/>
          <w:sz w:val="20"/>
          <w:szCs w:val="20"/>
        </w:rPr>
        <w:t xml:space="preserve"> statement covers </w:t>
      </w:r>
      <w:r w:rsidRPr="00A144AB">
        <w:rPr>
          <w:rFonts w:ascii="Segoe UI" w:hAnsi="Segoe UI" w:cs="Segoe UI"/>
          <w:sz w:val="20"/>
          <w:szCs w:val="20"/>
        </w:rPr>
        <w:t xml:space="preserve">the </w:t>
      </w:r>
      <w:r w:rsidR="00561F25">
        <w:rPr>
          <w:rFonts w:ascii="Segoe UI" w:hAnsi="Segoe UI" w:cs="Segoe UI"/>
          <w:sz w:val="20"/>
          <w:szCs w:val="20"/>
        </w:rPr>
        <w:t>S</w:t>
      </w:r>
      <w:r w:rsidR="006E39D2" w:rsidRPr="00A144AB">
        <w:rPr>
          <w:rFonts w:ascii="Segoe UI" w:hAnsi="Segoe UI" w:cs="Segoe UI"/>
          <w:sz w:val="20"/>
          <w:szCs w:val="20"/>
        </w:rPr>
        <w:t xml:space="preserve">cheme year </w:t>
      </w:r>
      <w:r w:rsidR="00D673B8" w:rsidRPr="00A144AB">
        <w:rPr>
          <w:rFonts w:ascii="Segoe UI" w:hAnsi="Segoe UI" w:cs="Segoe UI"/>
          <w:sz w:val="20"/>
          <w:szCs w:val="20"/>
        </w:rPr>
        <w:t>6 April 202</w:t>
      </w:r>
      <w:r w:rsidR="00222128">
        <w:rPr>
          <w:rFonts w:ascii="Segoe UI" w:hAnsi="Segoe UI" w:cs="Segoe UI"/>
          <w:sz w:val="20"/>
          <w:szCs w:val="20"/>
        </w:rPr>
        <w:t>2</w:t>
      </w:r>
      <w:r w:rsidRPr="00A144AB">
        <w:rPr>
          <w:rFonts w:ascii="Segoe UI" w:hAnsi="Segoe UI" w:cs="Segoe UI"/>
          <w:sz w:val="20"/>
          <w:szCs w:val="20"/>
        </w:rPr>
        <w:t xml:space="preserve"> to </w:t>
      </w:r>
      <w:r w:rsidR="00D673B8" w:rsidRPr="00A144AB">
        <w:rPr>
          <w:rFonts w:ascii="Segoe UI" w:hAnsi="Segoe UI" w:cs="Segoe UI"/>
          <w:sz w:val="20"/>
          <w:szCs w:val="20"/>
        </w:rPr>
        <w:t xml:space="preserve">5 April </w:t>
      </w:r>
      <w:r w:rsidR="00222128" w:rsidRPr="00A144AB">
        <w:rPr>
          <w:rFonts w:ascii="Segoe UI" w:hAnsi="Segoe UI" w:cs="Segoe UI"/>
          <w:sz w:val="20"/>
          <w:szCs w:val="20"/>
        </w:rPr>
        <w:t>202</w:t>
      </w:r>
      <w:r w:rsidR="00222128">
        <w:rPr>
          <w:rFonts w:ascii="Segoe UI" w:hAnsi="Segoe UI" w:cs="Segoe UI"/>
          <w:sz w:val="20"/>
          <w:szCs w:val="20"/>
        </w:rPr>
        <w:t>3</w:t>
      </w:r>
      <w:r w:rsidR="00A0567E" w:rsidRPr="00A144AB">
        <w:rPr>
          <w:rFonts w:ascii="Segoe UI" w:hAnsi="Segoe UI" w:cs="Segoe UI"/>
          <w:sz w:val="20"/>
          <w:szCs w:val="20"/>
        </w:rPr>
        <w:t xml:space="preserve">.  </w:t>
      </w:r>
    </w:p>
    <w:p w14:paraId="5078DDF4" w14:textId="037AC371" w:rsidR="005D3425" w:rsidRPr="00A144AB" w:rsidRDefault="00C50D56" w:rsidP="006B4574">
      <w:pPr>
        <w:pStyle w:val="Heading1"/>
        <w:numPr>
          <w:ilvl w:val="0"/>
          <w:numId w:val="5"/>
        </w:numPr>
      </w:pPr>
      <w:r w:rsidRPr="00A144AB">
        <w:t xml:space="preserve">The Scheme’s </w:t>
      </w:r>
      <w:r w:rsidR="00025E69" w:rsidRPr="00A144AB">
        <w:t>DC</w:t>
      </w:r>
      <w:r w:rsidR="005D3425" w:rsidRPr="00A144AB">
        <w:t xml:space="preserve"> </w:t>
      </w:r>
      <w:r w:rsidRPr="00A144AB">
        <w:t>arrangements</w:t>
      </w:r>
    </w:p>
    <w:p w14:paraId="5078DDF5" w14:textId="7C787083" w:rsidR="00E63809" w:rsidRPr="00A144AB" w:rsidRDefault="00E63809" w:rsidP="00B217D5">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The</w:t>
      </w:r>
      <w:r w:rsidR="00A0567E" w:rsidRPr="00A144AB">
        <w:rPr>
          <w:rFonts w:ascii="Segoe UI" w:hAnsi="Segoe UI" w:cs="Segoe UI"/>
          <w:sz w:val="20"/>
          <w:szCs w:val="20"/>
        </w:rPr>
        <w:t xml:space="preserve"> Scheme’s DC arrangements </w:t>
      </w:r>
      <w:r w:rsidRPr="00A144AB">
        <w:rPr>
          <w:rFonts w:ascii="Segoe UI" w:hAnsi="Segoe UI" w:cs="Segoe UI"/>
          <w:sz w:val="20"/>
          <w:szCs w:val="20"/>
        </w:rPr>
        <w:t>comprise:</w:t>
      </w:r>
    </w:p>
    <w:p w14:paraId="5078DDF6" w14:textId="396B0282" w:rsidR="005D3425" w:rsidRPr="00A144AB" w:rsidRDefault="006A3183"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 xml:space="preserve">The </w:t>
      </w:r>
      <w:r w:rsidR="00000266" w:rsidRPr="00A144AB">
        <w:rPr>
          <w:rFonts w:ascii="Segoe UI" w:hAnsi="Segoe UI" w:cs="Segoe UI"/>
          <w:sz w:val="20"/>
          <w:szCs w:val="20"/>
        </w:rPr>
        <w:t>Defined Contribution Section (“the DC Section”)</w:t>
      </w:r>
      <w:r w:rsidR="002C2B9A" w:rsidRPr="00A144AB">
        <w:rPr>
          <w:rFonts w:ascii="Segoe UI" w:hAnsi="Segoe UI" w:cs="Segoe UI"/>
          <w:sz w:val="20"/>
          <w:szCs w:val="20"/>
        </w:rPr>
        <w:t>, ignoring additional voluntary contributions (AVCs)</w:t>
      </w:r>
      <w:r w:rsidR="00000266" w:rsidRPr="00A144AB">
        <w:rPr>
          <w:rFonts w:ascii="Segoe UI" w:hAnsi="Segoe UI" w:cs="Segoe UI"/>
          <w:sz w:val="20"/>
          <w:szCs w:val="20"/>
        </w:rPr>
        <w:t xml:space="preserve">.  </w:t>
      </w:r>
      <w:r w:rsidR="00E2111B" w:rsidRPr="00A144AB">
        <w:rPr>
          <w:rFonts w:ascii="Segoe UI" w:hAnsi="Segoe UI" w:cs="Segoe UI"/>
          <w:sz w:val="20"/>
          <w:szCs w:val="20"/>
        </w:rPr>
        <w:t xml:space="preserve">The DC Section is administered by </w:t>
      </w:r>
      <w:r w:rsidR="00D673B8" w:rsidRPr="00A144AB">
        <w:rPr>
          <w:rFonts w:ascii="Segoe UI" w:hAnsi="Segoe UI" w:cs="Segoe UI"/>
          <w:sz w:val="20"/>
          <w:szCs w:val="20"/>
        </w:rPr>
        <w:t xml:space="preserve">Aegon </w:t>
      </w:r>
      <w:r w:rsidR="0025323E" w:rsidRPr="00A144AB">
        <w:rPr>
          <w:rFonts w:ascii="Segoe UI" w:hAnsi="Segoe UI" w:cs="Segoe UI"/>
          <w:sz w:val="20"/>
          <w:szCs w:val="20"/>
        </w:rPr>
        <w:t>and is open to further contributions.</w:t>
      </w:r>
    </w:p>
    <w:p w14:paraId="44ACA18D" w14:textId="02B6F830" w:rsidR="00C4276D" w:rsidRPr="00A144AB" w:rsidRDefault="00D673B8" w:rsidP="00B217D5">
      <w:pPr>
        <w:pStyle w:val="Level2"/>
        <w:numPr>
          <w:ilvl w:val="2"/>
          <w:numId w:val="5"/>
        </w:numPr>
        <w:spacing w:after="120" w:line="264" w:lineRule="auto"/>
        <w:ind w:left="1134" w:hanging="567"/>
      </w:pPr>
      <w:r w:rsidRPr="00A144AB">
        <w:rPr>
          <w:rFonts w:asciiTheme="majorHAnsi" w:hAnsiTheme="majorHAnsi" w:cstheme="majorHAnsi"/>
          <w:sz w:val="20"/>
          <w:szCs w:val="20"/>
        </w:rPr>
        <w:t xml:space="preserve">The </w:t>
      </w:r>
      <w:r w:rsidR="00E63809" w:rsidRPr="00A144AB">
        <w:rPr>
          <w:rFonts w:asciiTheme="majorHAnsi" w:hAnsiTheme="majorHAnsi" w:cstheme="majorHAnsi"/>
          <w:sz w:val="20"/>
          <w:szCs w:val="20"/>
        </w:rPr>
        <w:t>A</w:t>
      </w:r>
      <w:r w:rsidR="002C2B9A" w:rsidRPr="00A144AB">
        <w:rPr>
          <w:rFonts w:asciiTheme="majorHAnsi" w:hAnsiTheme="majorHAnsi" w:cstheme="majorHAnsi"/>
          <w:sz w:val="20"/>
          <w:szCs w:val="20"/>
        </w:rPr>
        <w:t>VC</w:t>
      </w:r>
      <w:r w:rsidR="000816A1" w:rsidRPr="00A144AB">
        <w:rPr>
          <w:rFonts w:asciiTheme="majorHAnsi" w:hAnsiTheme="majorHAnsi" w:cstheme="majorHAnsi"/>
          <w:sz w:val="20"/>
          <w:szCs w:val="20"/>
        </w:rPr>
        <w:t xml:space="preserve">s </w:t>
      </w:r>
      <w:r w:rsidRPr="00A144AB">
        <w:rPr>
          <w:rFonts w:asciiTheme="majorHAnsi" w:hAnsiTheme="majorHAnsi" w:cstheme="majorHAnsi"/>
          <w:sz w:val="20"/>
          <w:szCs w:val="20"/>
        </w:rPr>
        <w:t>and Shift Pay Plan arrangements related to the Defined Benefit (“DB”) section of the Scheme.</w:t>
      </w:r>
    </w:p>
    <w:p w14:paraId="5078DDFB" w14:textId="706FDF18" w:rsidR="00E75E63" w:rsidRPr="00A144AB" w:rsidRDefault="00E75E63" w:rsidP="006B4574">
      <w:pPr>
        <w:pStyle w:val="Heading1"/>
        <w:numPr>
          <w:ilvl w:val="0"/>
          <w:numId w:val="5"/>
        </w:numPr>
      </w:pPr>
      <w:r w:rsidRPr="00A144AB">
        <w:t xml:space="preserve">Default </w:t>
      </w:r>
      <w:r w:rsidR="002C05C5" w:rsidRPr="00A144AB">
        <w:t xml:space="preserve">investment </w:t>
      </w:r>
      <w:r w:rsidRPr="00A144AB">
        <w:t>arrangement</w:t>
      </w:r>
      <w:r w:rsidR="00461B76" w:rsidRPr="00A144AB">
        <w:t>s</w:t>
      </w:r>
    </w:p>
    <w:p w14:paraId="5078DDFC" w14:textId="4FB3D35D" w:rsidR="00ED18AC" w:rsidRPr="00A144AB" w:rsidRDefault="00461B76" w:rsidP="00B217D5">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For members who are automatically enrolled into t</w:t>
      </w:r>
      <w:r w:rsidR="00236FA7" w:rsidRPr="00A144AB">
        <w:rPr>
          <w:rFonts w:ascii="Segoe UI" w:hAnsi="Segoe UI" w:cs="Segoe UI"/>
          <w:sz w:val="20"/>
          <w:szCs w:val="20"/>
        </w:rPr>
        <w:t xml:space="preserve">he </w:t>
      </w:r>
      <w:r w:rsidR="00BF1F42" w:rsidRPr="00A144AB">
        <w:rPr>
          <w:rFonts w:ascii="Segoe UI" w:hAnsi="Segoe UI" w:cs="Segoe UI"/>
          <w:sz w:val="20"/>
          <w:szCs w:val="20"/>
        </w:rPr>
        <w:t xml:space="preserve">Scheme’s </w:t>
      </w:r>
      <w:r w:rsidR="002C05C5" w:rsidRPr="00A144AB">
        <w:rPr>
          <w:rFonts w:ascii="Segoe UI" w:hAnsi="Segoe UI" w:cs="Segoe UI"/>
          <w:sz w:val="20"/>
          <w:szCs w:val="20"/>
        </w:rPr>
        <w:t>DC Section</w:t>
      </w:r>
      <w:r w:rsidRPr="00A144AB">
        <w:rPr>
          <w:rFonts w:ascii="Segoe UI" w:hAnsi="Segoe UI" w:cs="Segoe UI"/>
          <w:sz w:val="20"/>
          <w:szCs w:val="20"/>
        </w:rPr>
        <w:t xml:space="preserve"> and </w:t>
      </w:r>
      <w:r w:rsidR="00A8481E" w:rsidRPr="00A144AB">
        <w:rPr>
          <w:rFonts w:ascii="Segoe UI" w:hAnsi="Segoe UI" w:cs="Segoe UI"/>
          <w:sz w:val="20"/>
          <w:szCs w:val="20"/>
        </w:rPr>
        <w:t xml:space="preserve">do not make an alternative selection, contributions are invested in </w:t>
      </w:r>
      <w:r w:rsidR="006F072E" w:rsidRPr="00A144AB">
        <w:rPr>
          <w:rFonts w:ascii="Segoe UI" w:hAnsi="Segoe UI" w:cs="Segoe UI"/>
          <w:sz w:val="20"/>
          <w:szCs w:val="20"/>
        </w:rPr>
        <w:t xml:space="preserve">the </w:t>
      </w:r>
      <w:r w:rsidR="00BD3052" w:rsidRPr="00A144AB">
        <w:rPr>
          <w:rFonts w:ascii="Segoe UI" w:hAnsi="Segoe UI" w:cs="Segoe UI"/>
          <w:sz w:val="20"/>
          <w:szCs w:val="20"/>
        </w:rPr>
        <w:t xml:space="preserve">Urenco Drawdown Path </w:t>
      </w:r>
      <w:r w:rsidR="007C6DC5" w:rsidRPr="00A144AB">
        <w:rPr>
          <w:rFonts w:ascii="Segoe UI" w:hAnsi="Segoe UI" w:cs="Segoe UI"/>
          <w:sz w:val="20"/>
          <w:szCs w:val="20"/>
        </w:rPr>
        <w:t xml:space="preserve">(“the </w:t>
      </w:r>
      <w:r w:rsidR="00683AF1">
        <w:rPr>
          <w:rFonts w:ascii="Segoe UI" w:hAnsi="Segoe UI" w:cs="Segoe UI"/>
          <w:sz w:val="20"/>
          <w:szCs w:val="20"/>
        </w:rPr>
        <w:t>d</w:t>
      </w:r>
      <w:r w:rsidR="007C6DC5" w:rsidRPr="00A144AB">
        <w:rPr>
          <w:rFonts w:ascii="Segoe UI" w:hAnsi="Segoe UI" w:cs="Segoe UI"/>
          <w:sz w:val="20"/>
          <w:szCs w:val="20"/>
        </w:rPr>
        <w:t>efault</w:t>
      </w:r>
      <w:r w:rsidR="00683AF1">
        <w:rPr>
          <w:rFonts w:ascii="Segoe UI" w:hAnsi="Segoe UI" w:cs="Segoe UI"/>
          <w:sz w:val="20"/>
          <w:szCs w:val="20"/>
        </w:rPr>
        <w:t xml:space="preserve"> investment arrangement</w:t>
      </w:r>
      <w:r w:rsidR="007C6DC5" w:rsidRPr="00A144AB">
        <w:rPr>
          <w:rFonts w:ascii="Segoe UI" w:hAnsi="Segoe UI" w:cs="Segoe UI"/>
          <w:sz w:val="20"/>
          <w:szCs w:val="20"/>
        </w:rPr>
        <w:t>”)</w:t>
      </w:r>
      <w:r w:rsidR="00785810" w:rsidRPr="00A144AB">
        <w:rPr>
          <w:rFonts w:ascii="Segoe UI" w:hAnsi="Segoe UI" w:cs="Segoe UI"/>
          <w:sz w:val="20"/>
          <w:szCs w:val="20"/>
        </w:rPr>
        <w:t xml:space="preserve">. </w:t>
      </w:r>
      <w:r w:rsidR="00F60E4D" w:rsidRPr="00A144AB">
        <w:rPr>
          <w:rFonts w:ascii="Segoe UI" w:hAnsi="Segoe UI" w:cs="Segoe UI"/>
          <w:sz w:val="20"/>
          <w:szCs w:val="20"/>
        </w:rPr>
        <w:t xml:space="preserve"> </w:t>
      </w:r>
    </w:p>
    <w:p w14:paraId="0D12172C" w14:textId="5CC3CD6C" w:rsidR="006F072E" w:rsidRPr="00A144AB" w:rsidRDefault="006F072E" w:rsidP="00B217D5">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 xml:space="preserve">The key features of the </w:t>
      </w:r>
      <w:r w:rsidR="00683AF1">
        <w:rPr>
          <w:rFonts w:ascii="Segoe UI" w:hAnsi="Segoe UI" w:cs="Segoe UI"/>
          <w:sz w:val="20"/>
          <w:szCs w:val="20"/>
        </w:rPr>
        <w:t xml:space="preserve">default investment arrangement </w:t>
      </w:r>
      <w:r w:rsidRPr="00A144AB">
        <w:rPr>
          <w:rFonts w:ascii="Segoe UI" w:hAnsi="Segoe UI" w:cs="Segoe UI"/>
          <w:sz w:val="20"/>
          <w:szCs w:val="20"/>
        </w:rPr>
        <w:t xml:space="preserve">are: </w:t>
      </w:r>
    </w:p>
    <w:p w14:paraId="0A0FBB25" w14:textId="39F6FA28" w:rsidR="006F072E" w:rsidRPr="00A144AB" w:rsidRDefault="00A2190B"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 xml:space="preserve">The default </w:t>
      </w:r>
      <w:r w:rsidR="00683AF1">
        <w:rPr>
          <w:rFonts w:ascii="Segoe UI" w:hAnsi="Segoe UI" w:cs="Segoe UI"/>
          <w:sz w:val="20"/>
          <w:szCs w:val="20"/>
        </w:rPr>
        <w:t xml:space="preserve">investment arrangement </w:t>
      </w:r>
      <w:r w:rsidRPr="00A144AB">
        <w:rPr>
          <w:rFonts w:ascii="Segoe UI" w:hAnsi="Segoe UI" w:cs="Segoe UI"/>
          <w:sz w:val="20"/>
          <w:szCs w:val="20"/>
        </w:rPr>
        <w:t xml:space="preserve">uses a ‘lifestyle’ strategy to automatically reduce risk/volatility in the years approaching retirement age. </w:t>
      </w:r>
    </w:p>
    <w:p w14:paraId="0A42F159" w14:textId="259E3693" w:rsidR="008E6231" w:rsidRPr="00A144AB" w:rsidRDefault="00AF079D"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 xml:space="preserve">Up </w:t>
      </w:r>
      <w:r w:rsidR="00142844" w:rsidRPr="00A144AB">
        <w:rPr>
          <w:rFonts w:ascii="Segoe UI" w:hAnsi="Segoe UI" w:cs="Segoe UI"/>
          <w:sz w:val="20"/>
          <w:szCs w:val="20"/>
        </w:rPr>
        <w:t>until 7</w:t>
      </w:r>
      <w:r w:rsidR="00BD3052" w:rsidRPr="00A144AB">
        <w:rPr>
          <w:rFonts w:ascii="Segoe UI" w:hAnsi="Segoe UI" w:cs="Segoe UI"/>
          <w:sz w:val="20"/>
          <w:szCs w:val="20"/>
        </w:rPr>
        <w:t xml:space="preserve"> </w:t>
      </w:r>
      <w:r w:rsidRPr="00A144AB">
        <w:rPr>
          <w:rFonts w:ascii="Segoe UI" w:hAnsi="Segoe UI" w:cs="Segoe UI"/>
          <w:sz w:val="20"/>
          <w:szCs w:val="20"/>
        </w:rPr>
        <w:t>years before a member’s retirement age, the</w:t>
      </w:r>
      <w:r w:rsidR="00683AF1">
        <w:rPr>
          <w:rFonts w:ascii="Segoe UI" w:hAnsi="Segoe UI" w:cs="Segoe UI"/>
          <w:sz w:val="20"/>
          <w:szCs w:val="20"/>
        </w:rPr>
        <w:t xml:space="preserve"> default investment arrangement </w:t>
      </w:r>
      <w:r w:rsidR="00BD3052" w:rsidRPr="00A144AB">
        <w:rPr>
          <w:rFonts w:ascii="Segoe UI" w:hAnsi="Segoe UI" w:cs="Segoe UI"/>
          <w:sz w:val="20"/>
          <w:szCs w:val="20"/>
        </w:rPr>
        <w:t>allocates 50% the Urenco PS Diversified Growth fund and 50% to the Urenco PS Passive Global Equity fund.</w:t>
      </w:r>
    </w:p>
    <w:p w14:paraId="677F3A76" w14:textId="549184C4" w:rsidR="008E6231" w:rsidRPr="00A144AB" w:rsidRDefault="008E6231"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 xml:space="preserve">Over the 7 years to a member’s retirement age, the default </w:t>
      </w:r>
      <w:r w:rsidR="00683AF1">
        <w:rPr>
          <w:rFonts w:ascii="Segoe UI" w:hAnsi="Segoe UI" w:cs="Segoe UI"/>
          <w:sz w:val="20"/>
          <w:szCs w:val="20"/>
        </w:rPr>
        <w:t xml:space="preserve">investment arrangement </w:t>
      </w:r>
      <w:r w:rsidRPr="00A144AB">
        <w:rPr>
          <w:rFonts w:ascii="Segoe UI" w:hAnsi="Segoe UI" w:cs="Segoe UI"/>
          <w:sz w:val="20"/>
          <w:szCs w:val="20"/>
        </w:rPr>
        <w:t xml:space="preserve">automatically and gradually switches some of the investments held in the Urenco PS Diversified Growth fund and the Urenco PS Passive Global Equity fund into the Aegon Standard Life Corporate Bonds fund and the Aegon BlackRock Cash fund. </w:t>
      </w:r>
    </w:p>
    <w:p w14:paraId="39A31045" w14:textId="503C6870" w:rsidR="00BF1F42" w:rsidRPr="00B217D5" w:rsidRDefault="008E6231"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 xml:space="preserve">At retirement, a member invested in the default </w:t>
      </w:r>
      <w:r w:rsidR="00683AF1">
        <w:rPr>
          <w:rFonts w:ascii="Segoe UI" w:hAnsi="Segoe UI" w:cs="Segoe UI"/>
          <w:sz w:val="20"/>
          <w:szCs w:val="20"/>
        </w:rPr>
        <w:t xml:space="preserve">investment arrangement </w:t>
      </w:r>
      <w:r w:rsidRPr="00A144AB">
        <w:rPr>
          <w:rFonts w:ascii="Segoe UI" w:hAnsi="Segoe UI" w:cs="Segoe UI"/>
          <w:sz w:val="20"/>
          <w:szCs w:val="20"/>
        </w:rPr>
        <w:t xml:space="preserve">would have a fund split of approximately 40% Urenco PS Diversified Growth, 15% Urenco PS Passive Equity, 20% Aegon Standard Life Corporate Bonds and 25% Aegon BlackRock </w:t>
      </w:r>
      <w:r w:rsidR="00265838" w:rsidRPr="00A144AB">
        <w:rPr>
          <w:rFonts w:ascii="Segoe UI" w:hAnsi="Segoe UI" w:cs="Segoe UI"/>
          <w:sz w:val="20"/>
          <w:szCs w:val="20"/>
        </w:rPr>
        <w:t>Cash</w:t>
      </w:r>
    </w:p>
    <w:p w14:paraId="689B9D7A" w14:textId="616FEDC8" w:rsidR="0039240E" w:rsidRPr="00A144AB" w:rsidRDefault="0039240E" w:rsidP="00847A5D">
      <w:pPr>
        <w:pStyle w:val="Heading2"/>
        <w:rPr>
          <w:lang w:eastAsia="en-GB"/>
        </w:rPr>
      </w:pPr>
      <w:r w:rsidRPr="00A144AB">
        <w:rPr>
          <w:lang w:eastAsia="en-GB"/>
        </w:rPr>
        <w:t>Review of the default</w:t>
      </w:r>
      <w:r w:rsidR="00683AF1">
        <w:rPr>
          <w:lang w:eastAsia="en-GB"/>
        </w:rPr>
        <w:t xml:space="preserve"> investment arrangement</w:t>
      </w:r>
    </w:p>
    <w:p w14:paraId="60385F1C" w14:textId="75FA9D77" w:rsidR="00AB5EC8" w:rsidRDefault="004B4553" w:rsidP="00AB5EC8">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The</w:t>
      </w:r>
      <w:r w:rsidR="00942627">
        <w:rPr>
          <w:rFonts w:ascii="Segoe UI" w:hAnsi="Segoe UI" w:cs="Segoe UI"/>
          <w:sz w:val="20"/>
          <w:szCs w:val="20"/>
        </w:rPr>
        <w:t xml:space="preserve"> Tri</w:t>
      </w:r>
      <w:r w:rsidR="00683AF1">
        <w:rPr>
          <w:rFonts w:ascii="Segoe UI" w:hAnsi="Segoe UI" w:cs="Segoe UI"/>
          <w:sz w:val="20"/>
          <w:szCs w:val="20"/>
        </w:rPr>
        <w:t xml:space="preserve">ennial </w:t>
      </w:r>
      <w:r w:rsidR="00942627">
        <w:rPr>
          <w:rFonts w:ascii="Segoe UI" w:hAnsi="Segoe UI" w:cs="Segoe UI"/>
          <w:sz w:val="20"/>
          <w:szCs w:val="20"/>
        </w:rPr>
        <w:t xml:space="preserve">Investment Review took place </w:t>
      </w:r>
      <w:r w:rsidR="00563F93">
        <w:rPr>
          <w:rFonts w:ascii="Segoe UI" w:hAnsi="Segoe UI" w:cs="Segoe UI"/>
          <w:sz w:val="20"/>
          <w:szCs w:val="20"/>
        </w:rPr>
        <w:t xml:space="preserve">in </w:t>
      </w:r>
      <w:r w:rsidR="00942627">
        <w:rPr>
          <w:rFonts w:ascii="Segoe UI" w:hAnsi="Segoe UI" w:cs="Segoe UI"/>
          <w:sz w:val="20"/>
          <w:szCs w:val="20"/>
        </w:rPr>
        <w:t xml:space="preserve">2023 and the outcome of the review was delivered to the Trustee at the Investment Sub-Committee meeting on the 22 May 2023.  Whilst the conclusion and any actions taken by the Trustees are outside of the reporting period for this Scheme Year, we have provided a high-level overview below and further details will be included within the next Chair Statement for the 2023/2024 Scheme Year. </w:t>
      </w:r>
      <w:r w:rsidRPr="00A144AB">
        <w:rPr>
          <w:rFonts w:ascii="Segoe UI" w:hAnsi="Segoe UI" w:cs="Segoe UI"/>
          <w:sz w:val="20"/>
          <w:szCs w:val="20"/>
        </w:rPr>
        <w:t xml:space="preserve"> </w:t>
      </w:r>
    </w:p>
    <w:p w14:paraId="22DD9745" w14:textId="5A7A790C" w:rsidR="00AB5EC8" w:rsidRDefault="00AB5EC8" w:rsidP="00FE2F16">
      <w:pPr>
        <w:ind w:left="567"/>
        <w:rPr>
          <w:lang w:val="en-GB" w:eastAsia="en-GB" w:bidi="ar-SA"/>
        </w:rPr>
      </w:pPr>
      <w:r>
        <w:rPr>
          <w:lang w:val="en-GB" w:eastAsia="en-GB" w:bidi="ar-SA"/>
        </w:rPr>
        <w:lastRenderedPageBreak/>
        <w:t xml:space="preserve">The outcome of the review was that the current structure of white labelled funds remains to be suitable for the membership, given the flexibility that it offers the Trustee to update the </w:t>
      </w:r>
      <w:r w:rsidR="00310108">
        <w:rPr>
          <w:lang w:val="en-GB" w:eastAsia="en-GB" w:bidi="ar-SA"/>
        </w:rPr>
        <w:t>underlying</w:t>
      </w:r>
      <w:r>
        <w:rPr>
          <w:lang w:val="en-GB" w:eastAsia="en-GB" w:bidi="ar-SA"/>
        </w:rPr>
        <w:t xml:space="preserve"> asset mix without need for member communications. Several changes to the investment strategy were also proposed, including:</w:t>
      </w:r>
    </w:p>
    <w:p w14:paraId="14EDF603" w14:textId="6AB69E0C" w:rsidR="00AB5EC8" w:rsidRDefault="00AB5EC8" w:rsidP="00AB5EC8">
      <w:pPr>
        <w:pStyle w:val="ListParagraph"/>
        <w:numPr>
          <w:ilvl w:val="0"/>
          <w:numId w:val="15"/>
        </w:numPr>
        <w:rPr>
          <w:lang w:val="en-GB" w:eastAsia="en-GB" w:bidi="ar-SA"/>
        </w:rPr>
      </w:pPr>
      <w:r>
        <w:rPr>
          <w:lang w:val="en-GB" w:eastAsia="en-GB" w:bidi="ar-SA"/>
        </w:rPr>
        <w:t>Replacing the Insight Broad Opportunities Fund for a Diversified Growth Fund</w:t>
      </w:r>
      <w:r w:rsidR="00C84319">
        <w:rPr>
          <w:lang w:val="en-GB" w:eastAsia="en-GB" w:bidi="ar-SA"/>
        </w:rPr>
        <w:t xml:space="preserve"> more suited to the investment time horizons for DC members</w:t>
      </w:r>
      <w:r>
        <w:rPr>
          <w:lang w:val="en-GB" w:eastAsia="en-GB" w:bidi="ar-SA"/>
        </w:rPr>
        <w:t>.</w:t>
      </w:r>
    </w:p>
    <w:p w14:paraId="4CA5609B" w14:textId="77777777" w:rsidR="00AB5EC8" w:rsidRDefault="00AB5EC8" w:rsidP="00AB5EC8">
      <w:pPr>
        <w:pStyle w:val="ListParagraph"/>
        <w:numPr>
          <w:ilvl w:val="0"/>
          <w:numId w:val="15"/>
        </w:numPr>
        <w:rPr>
          <w:lang w:val="en-GB" w:eastAsia="en-GB" w:bidi="ar-SA"/>
        </w:rPr>
      </w:pPr>
      <w:r>
        <w:rPr>
          <w:lang w:val="en-GB" w:eastAsia="en-GB" w:bidi="ar-SA"/>
        </w:rPr>
        <w:t>Extending the length of the de-risking glidepath from 7 years to 15 years.</w:t>
      </w:r>
    </w:p>
    <w:p w14:paraId="4BD1A197" w14:textId="2C276CD5" w:rsidR="00AB5EC8" w:rsidRPr="000E6C67" w:rsidRDefault="00AB5EC8" w:rsidP="003C0F1D">
      <w:pPr>
        <w:pStyle w:val="ListParagraph"/>
        <w:numPr>
          <w:ilvl w:val="0"/>
          <w:numId w:val="15"/>
        </w:numPr>
      </w:pPr>
      <w:r>
        <w:rPr>
          <w:lang w:val="en-GB" w:eastAsia="en-GB" w:bidi="ar-SA"/>
        </w:rPr>
        <w:t>Replacing equity funds with a single all world passive equity fund that has ESG considerations applied.</w:t>
      </w:r>
      <w:r w:rsidRPr="00FE2F16">
        <w:rPr>
          <w:lang w:val="en-GB" w:eastAsia="en-GB" w:bidi="ar-SA"/>
        </w:rPr>
        <w:t xml:space="preserve"> </w:t>
      </w:r>
    </w:p>
    <w:p w14:paraId="2A4C4007" w14:textId="25225BC6" w:rsidR="007319EF" w:rsidRDefault="00B46904" w:rsidP="00B217D5">
      <w:pPr>
        <w:pStyle w:val="Level2"/>
        <w:numPr>
          <w:ilvl w:val="1"/>
          <w:numId w:val="5"/>
        </w:numPr>
        <w:spacing w:after="120" w:line="264" w:lineRule="auto"/>
        <w:ind w:left="567" w:hanging="567"/>
        <w:rPr>
          <w:rFonts w:ascii="Segoe UI" w:hAnsi="Segoe UI" w:cs="Segoe UI"/>
          <w:sz w:val="20"/>
          <w:szCs w:val="20"/>
        </w:rPr>
      </w:pPr>
      <w:bookmarkStart w:id="0" w:name="_Hlk143090619"/>
      <w:r w:rsidRPr="00FE2F16">
        <w:rPr>
          <w:rFonts w:ascii="Segoe UI" w:hAnsi="Segoe UI" w:cs="Segoe UI"/>
          <w:sz w:val="20"/>
          <w:szCs w:val="20"/>
        </w:rPr>
        <w:t>Over the scheme year, the Trustee’s investment subcommittee engaged with Urenco to carry out a review of the structure of the DC Section</w:t>
      </w:r>
      <w:r>
        <w:rPr>
          <w:rFonts w:ascii="Segoe UI" w:hAnsi="Segoe UI" w:cs="Segoe UI"/>
          <w:sz w:val="20"/>
          <w:szCs w:val="20"/>
        </w:rPr>
        <w:t xml:space="preserve">.  Depending on the outcome, the Trustee will consider the </w:t>
      </w:r>
      <w:r w:rsidR="00D343CF">
        <w:rPr>
          <w:rFonts w:ascii="Segoe UI" w:hAnsi="Segoe UI" w:cs="Segoe UI"/>
          <w:sz w:val="20"/>
          <w:szCs w:val="20"/>
        </w:rPr>
        <w:t xml:space="preserve">investment </w:t>
      </w:r>
      <w:r>
        <w:rPr>
          <w:rFonts w:ascii="Segoe UI" w:hAnsi="Segoe UI" w:cs="Segoe UI"/>
          <w:sz w:val="20"/>
          <w:szCs w:val="20"/>
        </w:rPr>
        <w:t xml:space="preserve">proposals to ensure it aligns with the overall future strategy. </w:t>
      </w:r>
    </w:p>
    <w:bookmarkEnd w:id="0"/>
    <w:p w14:paraId="32BC6775" w14:textId="02C2E9A1" w:rsidR="0073398E" w:rsidRPr="00A144AB" w:rsidRDefault="004B4553" w:rsidP="00B217D5">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 xml:space="preserve">The Trustee </w:t>
      </w:r>
      <w:r w:rsidR="00AB5EC8">
        <w:rPr>
          <w:rFonts w:ascii="Segoe UI" w:hAnsi="Segoe UI" w:cs="Segoe UI"/>
          <w:sz w:val="20"/>
          <w:szCs w:val="20"/>
        </w:rPr>
        <w:t xml:space="preserve">also </w:t>
      </w:r>
      <w:r w:rsidRPr="00A144AB">
        <w:rPr>
          <w:rFonts w:ascii="Segoe UI" w:hAnsi="Segoe UI" w:cs="Segoe UI"/>
          <w:sz w:val="20"/>
          <w:szCs w:val="20"/>
        </w:rPr>
        <w:t>monitors the performance of all investment options, including the default</w:t>
      </w:r>
      <w:r w:rsidR="00683AF1">
        <w:rPr>
          <w:rFonts w:ascii="Segoe UI" w:hAnsi="Segoe UI" w:cs="Segoe UI"/>
          <w:sz w:val="20"/>
          <w:szCs w:val="20"/>
        </w:rPr>
        <w:t xml:space="preserve"> investment arrangement</w:t>
      </w:r>
      <w:r w:rsidRPr="00A144AB">
        <w:rPr>
          <w:rFonts w:ascii="Segoe UI" w:hAnsi="Segoe UI" w:cs="Segoe UI"/>
          <w:sz w:val="20"/>
          <w:szCs w:val="20"/>
        </w:rPr>
        <w:t>, on a quarterly basis.  These quarterly reviews are part of the regular governance of the Scheme and do not constitute a formal review of the default</w:t>
      </w:r>
      <w:r w:rsidR="00683AF1">
        <w:rPr>
          <w:rFonts w:ascii="Segoe UI" w:hAnsi="Segoe UI" w:cs="Segoe UI"/>
          <w:sz w:val="20"/>
          <w:szCs w:val="20"/>
        </w:rPr>
        <w:t xml:space="preserve"> investment arrangement</w:t>
      </w:r>
      <w:r w:rsidRPr="00A144AB">
        <w:rPr>
          <w:rFonts w:ascii="Segoe UI" w:hAnsi="Segoe UI" w:cs="Segoe UI"/>
          <w:sz w:val="20"/>
          <w:szCs w:val="20"/>
        </w:rPr>
        <w:t xml:space="preserve">, which ordinarily follows a </w:t>
      </w:r>
      <w:r w:rsidR="00AB5EC8" w:rsidRPr="00A144AB">
        <w:rPr>
          <w:rFonts w:ascii="Segoe UI" w:hAnsi="Segoe UI" w:cs="Segoe UI"/>
          <w:sz w:val="20"/>
          <w:szCs w:val="20"/>
        </w:rPr>
        <w:t>three-year</w:t>
      </w:r>
      <w:r w:rsidRPr="00A144AB">
        <w:rPr>
          <w:rFonts w:ascii="Segoe UI" w:hAnsi="Segoe UI" w:cs="Segoe UI"/>
          <w:sz w:val="20"/>
          <w:szCs w:val="20"/>
        </w:rPr>
        <w:t xml:space="preserve"> cycle.</w:t>
      </w:r>
    </w:p>
    <w:p w14:paraId="39F7B883" w14:textId="041E126D" w:rsidR="00A73626" w:rsidRPr="00A144AB" w:rsidRDefault="00ED0FFB" w:rsidP="00847A5D">
      <w:pPr>
        <w:pStyle w:val="Heading2"/>
      </w:pPr>
      <w:r w:rsidRPr="00A144AB">
        <w:t>Further information</w:t>
      </w:r>
      <w:r w:rsidR="00853ECA" w:rsidRPr="00A144AB">
        <w:t xml:space="preserve"> on the default</w:t>
      </w:r>
      <w:r w:rsidR="00683AF1">
        <w:t xml:space="preserve"> investment arrangement</w:t>
      </w:r>
    </w:p>
    <w:p w14:paraId="3884A60D" w14:textId="73A6612E" w:rsidR="00A73626" w:rsidRPr="00A144AB" w:rsidRDefault="00ED0FFB" w:rsidP="00B217D5">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 xml:space="preserve">Details of the default </w:t>
      </w:r>
      <w:r w:rsidR="00683AF1">
        <w:rPr>
          <w:rFonts w:ascii="Segoe UI" w:hAnsi="Segoe UI" w:cs="Segoe UI"/>
          <w:sz w:val="20"/>
          <w:szCs w:val="20"/>
        </w:rPr>
        <w:t xml:space="preserve">investment arrangement </w:t>
      </w:r>
      <w:r w:rsidRPr="00A144AB">
        <w:rPr>
          <w:rFonts w:ascii="Segoe UI" w:hAnsi="Segoe UI" w:cs="Segoe UI"/>
          <w:sz w:val="20"/>
          <w:szCs w:val="20"/>
        </w:rPr>
        <w:t xml:space="preserve">are set out in the </w:t>
      </w:r>
      <w:r w:rsidR="00E81568" w:rsidRPr="00A144AB">
        <w:rPr>
          <w:rFonts w:ascii="Segoe UI" w:hAnsi="Segoe UI" w:cs="Segoe UI"/>
          <w:sz w:val="20"/>
          <w:szCs w:val="20"/>
        </w:rPr>
        <w:t xml:space="preserve">attached </w:t>
      </w:r>
      <w:r w:rsidRPr="00A144AB">
        <w:rPr>
          <w:rFonts w:ascii="Segoe UI" w:hAnsi="Segoe UI" w:cs="Segoe UI"/>
          <w:sz w:val="20"/>
          <w:szCs w:val="20"/>
        </w:rPr>
        <w:t>‘</w:t>
      </w:r>
      <w:r w:rsidR="003C0F1D">
        <w:rPr>
          <w:rFonts w:ascii="Segoe UI" w:hAnsi="Segoe UI" w:cs="Segoe UI"/>
          <w:sz w:val="20"/>
          <w:szCs w:val="20"/>
        </w:rPr>
        <w:t>S</w:t>
      </w:r>
      <w:r w:rsidRPr="00A144AB">
        <w:rPr>
          <w:rFonts w:ascii="Segoe UI" w:hAnsi="Segoe UI" w:cs="Segoe UI"/>
          <w:sz w:val="20"/>
          <w:szCs w:val="20"/>
        </w:rPr>
        <w:t xml:space="preserve">tatement of </w:t>
      </w:r>
      <w:r w:rsidR="003C0F1D">
        <w:rPr>
          <w:rFonts w:ascii="Segoe UI" w:hAnsi="Segoe UI" w:cs="Segoe UI"/>
          <w:sz w:val="20"/>
          <w:szCs w:val="20"/>
        </w:rPr>
        <w:t>I</w:t>
      </w:r>
      <w:r w:rsidRPr="00A144AB">
        <w:rPr>
          <w:rFonts w:ascii="Segoe UI" w:hAnsi="Segoe UI" w:cs="Segoe UI"/>
          <w:sz w:val="20"/>
          <w:szCs w:val="20"/>
        </w:rPr>
        <w:t xml:space="preserve">nvestment </w:t>
      </w:r>
      <w:r w:rsidR="003C0F1D">
        <w:rPr>
          <w:rFonts w:ascii="Segoe UI" w:hAnsi="Segoe UI" w:cs="Segoe UI"/>
          <w:sz w:val="20"/>
          <w:szCs w:val="20"/>
        </w:rPr>
        <w:t>P</w:t>
      </w:r>
      <w:r w:rsidRPr="00A144AB">
        <w:rPr>
          <w:rFonts w:ascii="Segoe UI" w:hAnsi="Segoe UI" w:cs="Segoe UI"/>
          <w:sz w:val="20"/>
          <w:szCs w:val="20"/>
        </w:rPr>
        <w:t>rinciples’.</w:t>
      </w:r>
      <w:r w:rsidR="000058DE" w:rsidRPr="00A144AB">
        <w:rPr>
          <w:rFonts w:ascii="Segoe UI" w:hAnsi="Segoe UI" w:cs="Segoe UI"/>
          <w:sz w:val="20"/>
          <w:szCs w:val="20"/>
        </w:rPr>
        <w:t xml:space="preserve">  This covers the investment policy in relation to the entire Scheme.  </w:t>
      </w:r>
      <w:r w:rsidR="004C4C49" w:rsidRPr="00A144AB">
        <w:rPr>
          <w:rFonts w:ascii="Segoe UI" w:hAnsi="Segoe UI" w:cs="Segoe UI"/>
          <w:sz w:val="20"/>
          <w:szCs w:val="20"/>
        </w:rPr>
        <w:t xml:space="preserve">  </w:t>
      </w:r>
    </w:p>
    <w:p w14:paraId="5078DE02" w14:textId="77777777" w:rsidR="00A56CE0" w:rsidRPr="00A144AB" w:rsidRDefault="00A56CE0" w:rsidP="006B4574">
      <w:pPr>
        <w:pStyle w:val="Heading1"/>
        <w:numPr>
          <w:ilvl w:val="0"/>
          <w:numId w:val="5"/>
        </w:numPr>
      </w:pPr>
      <w:r w:rsidRPr="00A144AB">
        <w:t xml:space="preserve">Core financial transactions </w:t>
      </w:r>
    </w:p>
    <w:p w14:paraId="5078DE03" w14:textId="4059F888" w:rsidR="00827856" w:rsidRPr="00A144AB" w:rsidRDefault="00A56CE0" w:rsidP="006B4574">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The Trustee</w:t>
      </w:r>
      <w:r w:rsidR="00F56B2C" w:rsidRPr="00A144AB">
        <w:rPr>
          <w:rFonts w:ascii="Segoe UI" w:hAnsi="Segoe UI" w:cs="Segoe UI"/>
          <w:sz w:val="20"/>
          <w:szCs w:val="20"/>
        </w:rPr>
        <w:t xml:space="preserve"> </w:t>
      </w:r>
      <w:r w:rsidR="0050589F" w:rsidRPr="00A144AB">
        <w:rPr>
          <w:rFonts w:ascii="Segoe UI" w:hAnsi="Segoe UI" w:cs="Segoe UI"/>
          <w:sz w:val="20"/>
          <w:szCs w:val="20"/>
        </w:rPr>
        <w:t>ha</w:t>
      </w:r>
      <w:r w:rsidR="00D05A5B" w:rsidRPr="00A144AB">
        <w:rPr>
          <w:rFonts w:ascii="Segoe UI" w:hAnsi="Segoe UI" w:cs="Segoe UI"/>
          <w:sz w:val="20"/>
          <w:szCs w:val="20"/>
        </w:rPr>
        <w:t>s</w:t>
      </w:r>
      <w:r w:rsidR="0050589F" w:rsidRPr="00A144AB">
        <w:rPr>
          <w:rFonts w:ascii="Segoe UI" w:hAnsi="Segoe UI" w:cs="Segoe UI"/>
          <w:sz w:val="20"/>
          <w:szCs w:val="20"/>
        </w:rPr>
        <w:t xml:space="preserve"> a duty to </w:t>
      </w:r>
      <w:r w:rsidRPr="00A144AB">
        <w:rPr>
          <w:rFonts w:ascii="Segoe UI" w:hAnsi="Segoe UI" w:cs="Segoe UI"/>
          <w:sz w:val="20"/>
          <w:szCs w:val="20"/>
        </w:rPr>
        <w:t xml:space="preserve">ensure that </w:t>
      </w:r>
      <w:r w:rsidR="00910265" w:rsidRPr="00A144AB">
        <w:rPr>
          <w:rFonts w:ascii="Segoe UI" w:hAnsi="Segoe UI" w:cs="Segoe UI"/>
          <w:sz w:val="20"/>
          <w:szCs w:val="20"/>
        </w:rPr>
        <w:t>‘</w:t>
      </w:r>
      <w:r w:rsidRPr="00A144AB">
        <w:rPr>
          <w:rFonts w:ascii="Segoe UI" w:hAnsi="Segoe UI" w:cs="Segoe UI"/>
          <w:sz w:val="20"/>
          <w:szCs w:val="20"/>
        </w:rPr>
        <w:t>core fin</w:t>
      </w:r>
      <w:r w:rsidR="005756C7" w:rsidRPr="00A144AB">
        <w:rPr>
          <w:rFonts w:ascii="Segoe UI" w:hAnsi="Segoe UI" w:cs="Segoe UI"/>
          <w:sz w:val="20"/>
          <w:szCs w:val="20"/>
        </w:rPr>
        <w:t>ancial transactions</w:t>
      </w:r>
      <w:r w:rsidR="00910265" w:rsidRPr="00A144AB">
        <w:rPr>
          <w:rFonts w:ascii="Segoe UI" w:hAnsi="Segoe UI" w:cs="Segoe UI"/>
          <w:sz w:val="20"/>
          <w:szCs w:val="20"/>
        </w:rPr>
        <w:t>’</w:t>
      </w:r>
      <w:r w:rsidR="005756C7" w:rsidRPr="00A144AB">
        <w:rPr>
          <w:rFonts w:ascii="Segoe UI" w:hAnsi="Segoe UI" w:cs="Segoe UI"/>
          <w:sz w:val="20"/>
          <w:szCs w:val="20"/>
        </w:rPr>
        <w:t xml:space="preserve"> </w:t>
      </w:r>
      <w:r w:rsidRPr="00A144AB">
        <w:rPr>
          <w:rFonts w:ascii="Segoe UI" w:hAnsi="Segoe UI" w:cs="Segoe UI"/>
          <w:sz w:val="20"/>
          <w:szCs w:val="20"/>
        </w:rPr>
        <w:t xml:space="preserve">are processed promptly and accurately. </w:t>
      </w:r>
    </w:p>
    <w:p w14:paraId="3F8D73D2" w14:textId="7A6B6E85" w:rsidR="00910265" w:rsidRPr="00A144AB" w:rsidRDefault="0076679D" w:rsidP="006B4574">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C</w:t>
      </w:r>
      <w:r w:rsidR="00C97358" w:rsidRPr="00A144AB">
        <w:rPr>
          <w:rFonts w:ascii="Segoe UI" w:hAnsi="Segoe UI" w:cs="Segoe UI"/>
          <w:sz w:val="20"/>
          <w:szCs w:val="20"/>
        </w:rPr>
        <w:t>ore financial transactions comprise</w:t>
      </w:r>
      <w:r w:rsidRPr="00A144AB">
        <w:rPr>
          <w:rFonts w:ascii="Segoe UI" w:hAnsi="Segoe UI" w:cs="Segoe UI"/>
          <w:sz w:val="20"/>
          <w:szCs w:val="20"/>
        </w:rPr>
        <w:t xml:space="preserve"> the following</w:t>
      </w:r>
      <w:r w:rsidR="00C97358" w:rsidRPr="00A144AB">
        <w:rPr>
          <w:rFonts w:ascii="Segoe UI" w:hAnsi="Segoe UI" w:cs="Segoe UI"/>
          <w:sz w:val="20"/>
          <w:szCs w:val="20"/>
        </w:rPr>
        <w:t xml:space="preserve">: </w:t>
      </w:r>
    </w:p>
    <w:p w14:paraId="7E752FD3" w14:textId="0BF0894D" w:rsidR="00910265" w:rsidRPr="00A144AB" w:rsidRDefault="00C97358"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investment of contributions</w:t>
      </w:r>
    </w:p>
    <w:p w14:paraId="39CDE54F" w14:textId="2818469E" w:rsidR="00910265" w:rsidRPr="00A144AB" w:rsidRDefault="00C97358"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transfers into and out of the Scheme</w:t>
      </w:r>
    </w:p>
    <w:p w14:paraId="4FC3F58F" w14:textId="264D8048" w:rsidR="00910265" w:rsidRPr="00A144AB" w:rsidRDefault="00C97358"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investment switches</w:t>
      </w:r>
      <w:r w:rsidR="00C6588C" w:rsidRPr="00A144AB">
        <w:rPr>
          <w:rFonts w:ascii="Segoe UI" w:hAnsi="Segoe UI" w:cs="Segoe UI"/>
          <w:sz w:val="20"/>
          <w:szCs w:val="20"/>
        </w:rPr>
        <w:t xml:space="preserve"> within the Scheme</w:t>
      </w:r>
    </w:p>
    <w:p w14:paraId="130424AC" w14:textId="2A49BFB8" w:rsidR="00910265" w:rsidRPr="00A144AB" w:rsidRDefault="00C97358" w:rsidP="00B217D5">
      <w:pPr>
        <w:pStyle w:val="Level2"/>
        <w:numPr>
          <w:ilvl w:val="2"/>
          <w:numId w:val="5"/>
        </w:numPr>
        <w:spacing w:after="120" w:line="264" w:lineRule="auto"/>
        <w:ind w:left="1134" w:hanging="567"/>
        <w:rPr>
          <w:rFonts w:ascii="Segoe UI" w:hAnsi="Segoe UI" w:cs="Segoe UI"/>
          <w:sz w:val="20"/>
          <w:szCs w:val="20"/>
        </w:rPr>
      </w:pPr>
      <w:r w:rsidRPr="00A144AB">
        <w:rPr>
          <w:rFonts w:ascii="Segoe UI" w:hAnsi="Segoe UI" w:cs="Segoe UI"/>
          <w:sz w:val="20"/>
          <w:szCs w:val="20"/>
        </w:rPr>
        <w:t>payments out of the Scheme</w:t>
      </w:r>
    </w:p>
    <w:p w14:paraId="5523259E" w14:textId="77777777" w:rsidR="00023C34" w:rsidRPr="00A144AB" w:rsidRDefault="003148C5" w:rsidP="006B4574">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Core financial transactions</w:t>
      </w:r>
      <w:r w:rsidR="00023C34" w:rsidRPr="00A144AB">
        <w:rPr>
          <w:rFonts w:ascii="Segoe UI" w:hAnsi="Segoe UI" w:cs="Segoe UI"/>
          <w:sz w:val="20"/>
          <w:szCs w:val="20"/>
        </w:rPr>
        <w:t xml:space="preserve"> require liaising with the providers and investment managers. </w:t>
      </w:r>
    </w:p>
    <w:p w14:paraId="3AA23F1C" w14:textId="14DD98E9" w:rsidR="0050589F" w:rsidRPr="00A144AB" w:rsidRDefault="00023C34" w:rsidP="006B4574">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The Trustee has delegated the day-to-day investment management of the DC Section to the underlying provider Aegon.</w:t>
      </w:r>
      <w:r w:rsidR="0050589F" w:rsidRPr="00A144AB">
        <w:rPr>
          <w:rFonts w:ascii="Segoe UI" w:hAnsi="Segoe UI" w:cs="Segoe UI"/>
          <w:sz w:val="20"/>
          <w:szCs w:val="20"/>
        </w:rPr>
        <w:t xml:space="preserve">  </w:t>
      </w:r>
    </w:p>
    <w:p w14:paraId="6EB2D2F9" w14:textId="143FE482" w:rsidR="00023C34" w:rsidRPr="00A144AB" w:rsidRDefault="00A52B38" w:rsidP="006B4574">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 xml:space="preserve">Core financial transactions for the AVC arrangement are undertaken by </w:t>
      </w:r>
      <w:r w:rsidR="00023C34" w:rsidRPr="00A144AB">
        <w:rPr>
          <w:rFonts w:ascii="Segoe UI" w:hAnsi="Segoe UI" w:cs="Segoe UI"/>
          <w:sz w:val="20"/>
          <w:szCs w:val="20"/>
        </w:rPr>
        <w:t>Prudential and Clerical Medical</w:t>
      </w:r>
      <w:r w:rsidRPr="00A144AB">
        <w:rPr>
          <w:rFonts w:ascii="Segoe UI" w:hAnsi="Segoe UI" w:cs="Segoe UI"/>
          <w:sz w:val="20"/>
          <w:szCs w:val="20"/>
        </w:rPr>
        <w:t>.</w:t>
      </w:r>
    </w:p>
    <w:p w14:paraId="0929B1EC" w14:textId="3E44AFA9" w:rsidR="00A52B38" w:rsidRPr="00A144AB" w:rsidRDefault="00023C34" w:rsidP="006B4574">
      <w:pPr>
        <w:pStyle w:val="Level2"/>
        <w:numPr>
          <w:ilvl w:val="1"/>
          <w:numId w:val="5"/>
        </w:numPr>
        <w:spacing w:after="120" w:line="264" w:lineRule="auto"/>
        <w:ind w:left="567" w:hanging="567"/>
        <w:rPr>
          <w:rFonts w:ascii="Segoe UI" w:hAnsi="Segoe UI" w:cs="Segoe UI"/>
          <w:sz w:val="20"/>
          <w:szCs w:val="20"/>
        </w:rPr>
      </w:pPr>
      <w:r w:rsidRPr="00A144AB">
        <w:rPr>
          <w:rFonts w:ascii="Segoe UI" w:hAnsi="Segoe UI" w:cs="Segoe UI"/>
          <w:sz w:val="20"/>
          <w:szCs w:val="20"/>
        </w:rPr>
        <w:t xml:space="preserve">Core financial transactions for the Shift Plan arrangement are undertaken by Prudential. </w:t>
      </w:r>
      <w:r w:rsidR="00A52B38" w:rsidRPr="00A144AB">
        <w:rPr>
          <w:rFonts w:ascii="Segoe UI" w:hAnsi="Segoe UI" w:cs="Segoe UI"/>
          <w:sz w:val="20"/>
          <w:szCs w:val="20"/>
        </w:rPr>
        <w:t xml:space="preserve">  </w:t>
      </w:r>
    </w:p>
    <w:p w14:paraId="4B8E4BA6" w14:textId="7F6163CB" w:rsidR="00910265" w:rsidRDefault="00A265DB" w:rsidP="00847A5D">
      <w:pPr>
        <w:pStyle w:val="Heading2"/>
        <w:rPr>
          <w:lang w:eastAsia="en-GB"/>
        </w:rPr>
      </w:pPr>
      <w:r>
        <w:rPr>
          <w:lang w:eastAsia="en-GB"/>
        </w:rPr>
        <w:t>Controls and m</w:t>
      </w:r>
      <w:r w:rsidR="0050589F">
        <w:rPr>
          <w:lang w:eastAsia="en-GB"/>
        </w:rPr>
        <w:t>onitoring arrangements</w:t>
      </w:r>
    </w:p>
    <w:p w14:paraId="4066970E" w14:textId="722E1C1A" w:rsidR="00E94071" w:rsidRPr="00E94071" w:rsidRDefault="006A7D0A" w:rsidP="006B4574">
      <w:pPr>
        <w:pStyle w:val="Level2"/>
        <w:numPr>
          <w:ilvl w:val="1"/>
          <w:numId w:val="5"/>
        </w:numPr>
        <w:spacing w:after="120" w:line="264" w:lineRule="auto"/>
        <w:ind w:left="567" w:hanging="567"/>
        <w:rPr>
          <w:rFonts w:ascii="Segoe UI" w:eastAsiaTheme="minorHAnsi" w:hAnsi="Segoe UI" w:cs="Segoe UI"/>
          <w:sz w:val="20"/>
          <w:szCs w:val="20"/>
          <w:lang w:val="en-US" w:eastAsia="en-US" w:bidi="en-US"/>
        </w:rPr>
      </w:pPr>
      <w:r w:rsidRPr="006A7D0A">
        <w:rPr>
          <w:rFonts w:ascii="Segoe UI" w:eastAsiaTheme="minorHAnsi" w:hAnsi="Segoe UI" w:cs="Segoe UI"/>
          <w:sz w:val="20"/>
          <w:szCs w:val="20"/>
          <w:lang w:val="en-US" w:eastAsia="en-US" w:bidi="en-US"/>
        </w:rPr>
        <w:t xml:space="preserve">The </w:t>
      </w:r>
      <w:r w:rsidRPr="00847A5D">
        <w:rPr>
          <w:rFonts w:ascii="Segoe UI" w:hAnsi="Segoe UI" w:cs="Segoe UI"/>
          <w:sz w:val="20"/>
          <w:szCs w:val="20"/>
        </w:rPr>
        <w:t xml:space="preserve">controls in place in relation to </w:t>
      </w:r>
      <w:r w:rsidR="00A52B38">
        <w:rPr>
          <w:rFonts w:ascii="Segoe UI" w:hAnsi="Segoe UI" w:cs="Segoe UI"/>
          <w:sz w:val="20"/>
          <w:szCs w:val="20"/>
        </w:rPr>
        <w:t xml:space="preserve">ensuring </w:t>
      </w:r>
      <w:r w:rsidRPr="00847A5D">
        <w:rPr>
          <w:rFonts w:ascii="Segoe UI" w:hAnsi="Segoe UI" w:cs="Segoe UI"/>
          <w:sz w:val="20"/>
          <w:szCs w:val="20"/>
        </w:rPr>
        <w:t xml:space="preserve">the </w:t>
      </w:r>
      <w:r>
        <w:rPr>
          <w:rFonts w:ascii="Segoe UI" w:hAnsi="Segoe UI" w:cs="Segoe UI"/>
          <w:sz w:val="20"/>
          <w:szCs w:val="20"/>
        </w:rPr>
        <w:t>promptness</w:t>
      </w:r>
      <w:r w:rsidRPr="00847A5D">
        <w:rPr>
          <w:rFonts w:ascii="Segoe UI" w:hAnsi="Segoe UI" w:cs="Segoe UI"/>
          <w:sz w:val="20"/>
          <w:szCs w:val="20"/>
        </w:rPr>
        <w:t xml:space="preserve"> </w:t>
      </w:r>
      <w:r w:rsidR="007E4457">
        <w:rPr>
          <w:rFonts w:ascii="Segoe UI" w:hAnsi="Segoe UI" w:cs="Segoe UI"/>
          <w:sz w:val="20"/>
          <w:szCs w:val="20"/>
        </w:rPr>
        <w:t xml:space="preserve">and accuracy </w:t>
      </w:r>
      <w:r w:rsidRPr="00847A5D">
        <w:rPr>
          <w:rFonts w:ascii="Segoe UI" w:hAnsi="Segoe UI" w:cs="Segoe UI"/>
          <w:sz w:val="20"/>
          <w:szCs w:val="20"/>
        </w:rPr>
        <w:t>of core financial transactions are:</w:t>
      </w:r>
    </w:p>
    <w:p w14:paraId="6A68F93A" w14:textId="2C319D7C" w:rsidR="00E94071" w:rsidRPr="00B217D5" w:rsidRDefault="002D3E2A"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T</w:t>
      </w:r>
      <w:r w:rsidR="00E2111B" w:rsidRPr="00B217D5">
        <w:rPr>
          <w:rFonts w:ascii="Segoe UI" w:hAnsi="Segoe UI" w:cs="Segoe UI"/>
          <w:sz w:val="20"/>
          <w:szCs w:val="20"/>
        </w:rPr>
        <w:t>he Trustee</w:t>
      </w:r>
      <w:r w:rsidR="00A265DB" w:rsidRPr="00B217D5">
        <w:rPr>
          <w:rFonts w:ascii="Segoe UI" w:hAnsi="Segoe UI" w:cs="Segoe UI"/>
          <w:sz w:val="20"/>
          <w:szCs w:val="20"/>
        </w:rPr>
        <w:t xml:space="preserve"> has</w:t>
      </w:r>
      <w:r w:rsidR="00E2111B" w:rsidRPr="00B217D5">
        <w:rPr>
          <w:rFonts w:ascii="Segoe UI" w:hAnsi="Segoe UI" w:cs="Segoe UI"/>
          <w:sz w:val="20"/>
          <w:szCs w:val="20"/>
        </w:rPr>
        <w:t xml:space="preserve"> </w:t>
      </w:r>
      <w:r w:rsidR="005C3876" w:rsidRPr="00B217D5">
        <w:rPr>
          <w:rFonts w:ascii="Segoe UI" w:hAnsi="Segoe UI" w:cs="Segoe UI"/>
          <w:sz w:val="20"/>
          <w:szCs w:val="20"/>
        </w:rPr>
        <w:t xml:space="preserve">a </w:t>
      </w:r>
      <w:r w:rsidR="00E2111B" w:rsidRPr="00B217D5">
        <w:rPr>
          <w:rFonts w:ascii="Segoe UI" w:hAnsi="Segoe UI" w:cs="Segoe UI"/>
          <w:sz w:val="20"/>
          <w:szCs w:val="20"/>
        </w:rPr>
        <w:t>Service Level Agreement (SLA) in place</w:t>
      </w:r>
      <w:r w:rsidR="0069729A" w:rsidRPr="00B217D5">
        <w:rPr>
          <w:rFonts w:ascii="Segoe UI" w:hAnsi="Segoe UI" w:cs="Segoe UI"/>
          <w:sz w:val="20"/>
          <w:szCs w:val="20"/>
        </w:rPr>
        <w:t xml:space="preserve"> </w:t>
      </w:r>
      <w:r w:rsidRPr="00B217D5">
        <w:rPr>
          <w:rFonts w:ascii="Segoe UI" w:hAnsi="Segoe UI" w:cs="Segoe UI"/>
          <w:sz w:val="20"/>
          <w:szCs w:val="20"/>
        </w:rPr>
        <w:t xml:space="preserve">with the administrator.  The SLA sets out the timeline standards expected </w:t>
      </w:r>
      <w:r w:rsidR="00D15F51" w:rsidRPr="00B217D5">
        <w:rPr>
          <w:rFonts w:ascii="Segoe UI" w:hAnsi="Segoe UI" w:cs="Segoe UI"/>
          <w:sz w:val="20"/>
          <w:szCs w:val="20"/>
        </w:rPr>
        <w:t xml:space="preserve">for each step </w:t>
      </w:r>
      <w:r w:rsidRPr="00B217D5">
        <w:rPr>
          <w:rFonts w:ascii="Segoe UI" w:hAnsi="Segoe UI" w:cs="Segoe UI"/>
          <w:sz w:val="20"/>
          <w:szCs w:val="20"/>
        </w:rPr>
        <w:t>of the Scheme’s main administration tasks, including core financial transactions</w:t>
      </w:r>
      <w:r w:rsidR="00792EA3" w:rsidRPr="00B217D5">
        <w:rPr>
          <w:rFonts w:ascii="Segoe UI" w:hAnsi="Segoe UI" w:cs="Segoe UI"/>
          <w:sz w:val="20"/>
          <w:szCs w:val="20"/>
        </w:rPr>
        <w:t xml:space="preserve">. The Trustee monitors these SLAs on a regular basis, with the provider being asked to account for shortfalls in </w:t>
      </w:r>
      <w:r w:rsidR="00CA31C7" w:rsidRPr="00B217D5">
        <w:rPr>
          <w:rFonts w:ascii="Segoe UI" w:hAnsi="Segoe UI" w:cs="Segoe UI"/>
          <w:sz w:val="20"/>
          <w:szCs w:val="20"/>
        </w:rPr>
        <w:t>performance. We provide the core financial transaction SLAs for the DC Section</w:t>
      </w:r>
      <w:r w:rsidR="00E94071" w:rsidRPr="00B217D5">
        <w:rPr>
          <w:rFonts w:ascii="Segoe UI" w:hAnsi="Segoe UI" w:cs="Segoe UI"/>
          <w:sz w:val="20"/>
          <w:szCs w:val="20"/>
        </w:rPr>
        <w:t xml:space="preserve"> below.</w:t>
      </w:r>
    </w:p>
    <w:p w14:paraId="5104D1C9" w14:textId="16B375AA" w:rsidR="00E94071" w:rsidRPr="00B217D5" w:rsidRDefault="00CA31C7"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lastRenderedPageBreak/>
        <w:t xml:space="preserve"> </w:t>
      </w:r>
      <w:r w:rsidR="00E94071" w:rsidRPr="00B217D5">
        <w:rPr>
          <w:rFonts w:ascii="Segoe UI" w:hAnsi="Segoe UI" w:cs="Segoe UI"/>
          <w:sz w:val="20"/>
          <w:szCs w:val="20"/>
        </w:rPr>
        <w:t xml:space="preserve">Ensuring that detailed disaster recovery plans are in place with the administrator, other relevant third parties, and within the sponsoring employer. The Trustee has sight of Aegon’s Business </w:t>
      </w:r>
      <w:r w:rsidR="00BF1605" w:rsidRPr="00B217D5">
        <w:rPr>
          <w:rFonts w:ascii="Segoe UI" w:hAnsi="Segoe UI" w:cs="Segoe UI"/>
          <w:sz w:val="20"/>
          <w:szCs w:val="20"/>
        </w:rPr>
        <w:t>Continuity</w:t>
      </w:r>
      <w:r w:rsidR="00E94071" w:rsidRPr="00B217D5">
        <w:rPr>
          <w:rFonts w:ascii="Segoe UI" w:hAnsi="Segoe UI" w:cs="Segoe UI"/>
          <w:sz w:val="20"/>
          <w:szCs w:val="20"/>
        </w:rPr>
        <w:t xml:space="preserve"> </w:t>
      </w:r>
      <w:proofErr w:type="gramStart"/>
      <w:r w:rsidR="00E94071" w:rsidRPr="00B217D5">
        <w:rPr>
          <w:rFonts w:ascii="Segoe UI" w:hAnsi="Segoe UI" w:cs="Segoe UI"/>
          <w:sz w:val="20"/>
          <w:szCs w:val="20"/>
        </w:rPr>
        <w:t>Statement</w:t>
      </w:r>
      <w:r w:rsidR="00644A27" w:rsidRPr="00B217D5">
        <w:rPr>
          <w:rFonts w:ascii="Segoe UI" w:hAnsi="Segoe UI" w:cs="Segoe UI"/>
          <w:sz w:val="20"/>
          <w:szCs w:val="20"/>
        </w:rPr>
        <w:t>, and</w:t>
      </w:r>
      <w:proofErr w:type="gramEnd"/>
      <w:r w:rsidR="00644A27" w:rsidRPr="00B217D5">
        <w:rPr>
          <w:rFonts w:ascii="Segoe UI" w:hAnsi="Segoe UI" w:cs="Segoe UI"/>
          <w:sz w:val="20"/>
          <w:szCs w:val="20"/>
        </w:rPr>
        <w:t xml:space="preserve"> is compiled alongside other scheme documents</w:t>
      </w:r>
      <w:r w:rsidR="00E94071" w:rsidRPr="00B217D5">
        <w:rPr>
          <w:rFonts w:ascii="Segoe UI" w:hAnsi="Segoe UI" w:cs="Segoe UI"/>
          <w:sz w:val="20"/>
          <w:szCs w:val="20"/>
        </w:rPr>
        <w:t>.</w:t>
      </w:r>
    </w:p>
    <w:p w14:paraId="128DEA25" w14:textId="5DB5CA33" w:rsidR="00E94071" w:rsidRPr="00B217D5" w:rsidRDefault="00E94071"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 xml:space="preserve">Maintaining and monitoring a Risk </w:t>
      </w:r>
      <w:r w:rsidR="00BF1605" w:rsidRPr="00B217D5">
        <w:rPr>
          <w:rFonts w:ascii="Segoe UI" w:hAnsi="Segoe UI" w:cs="Segoe UI"/>
          <w:sz w:val="20"/>
          <w:szCs w:val="20"/>
        </w:rPr>
        <w:t>Register</w:t>
      </w:r>
      <w:r w:rsidRPr="00B217D5">
        <w:rPr>
          <w:rFonts w:ascii="Segoe UI" w:hAnsi="Segoe UI" w:cs="Segoe UI"/>
          <w:sz w:val="20"/>
          <w:szCs w:val="20"/>
        </w:rPr>
        <w:t xml:space="preserve">, which outlines the risks to members and the Scheme, including those in relation to financial transactions, and consider the impact, likelihood, </w:t>
      </w:r>
      <w:proofErr w:type="gramStart"/>
      <w:r w:rsidRPr="00B217D5">
        <w:rPr>
          <w:rFonts w:ascii="Segoe UI" w:hAnsi="Segoe UI" w:cs="Segoe UI"/>
          <w:sz w:val="20"/>
          <w:szCs w:val="20"/>
        </w:rPr>
        <w:t>controls</w:t>
      </w:r>
      <w:proofErr w:type="gramEnd"/>
      <w:r w:rsidRPr="00B217D5">
        <w:rPr>
          <w:rFonts w:ascii="Segoe UI" w:hAnsi="Segoe UI" w:cs="Segoe UI"/>
          <w:sz w:val="20"/>
          <w:szCs w:val="20"/>
        </w:rPr>
        <w:t xml:space="preserve"> and </w:t>
      </w:r>
      <w:r w:rsidR="00BF1605" w:rsidRPr="00B217D5">
        <w:rPr>
          <w:rFonts w:ascii="Segoe UI" w:hAnsi="Segoe UI" w:cs="Segoe UI"/>
          <w:sz w:val="20"/>
          <w:szCs w:val="20"/>
        </w:rPr>
        <w:t xml:space="preserve">mitigation steps for each risk. The Risk Register is monitored and reviewed on a regular basis. </w:t>
      </w:r>
    </w:p>
    <w:p w14:paraId="6A668554" w14:textId="6E58B308" w:rsidR="00E94071" w:rsidRPr="00B217D5" w:rsidRDefault="00BF1605"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Appointing a professional firm to undertake an annual audit to confirm that contributions and benefit payments have been made in a timely manner and in line with the required timescales.</w:t>
      </w:r>
    </w:p>
    <w:tbl>
      <w:tblPr>
        <w:tblStyle w:val="bwTable"/>
        <w:tblW w:w="9893" w:type="dxa"/>
        <w:tblInd w:w="5" w:type="dxa"/>
        <w:tblLook w:val="04A0" w:firstRow="1" w:lastRow="0" w:firstColumn="1" w:lastColumn="0" w:noHBand="0" w:noVBand="1"/>
      </w:tblPr>
      <w:tblGrid>
        <w:gridCol w:w="3070"/>
        <w:gridCol w:w="1639"/>
        <w:gridCol w:w="3545"/>
        <w:gridCol w:w="1639"/>
      </w:tblGrid>
      <w:tr w:rsidR="00C130B5" w14:paraId="39FBBD84" w14:textId="77777777" w:rsidTr="00C130B5">
        <w:trPr>
          <w:cnfStyle w:val="100000000000" w:firstRow="1" w:lastRow="0" w:firstColumn="0" w:lastColumn="0" w:oddVBand="0" w:evenVBand="0" w:oddHBand="0" w:evenHBand="0" w:firstRowFirstColumn="0" w:firstRowLastColumn="0" w:lastRowFirstColumn="0" w:lastRowLastColumn="0"/>
          <w:trHeight w:val="229"/>
        </w:trPr>
        <w:tc>
          <w:tcPr>
            <w:tcW w:w="3070" w:type="dxa"/>
          </w:tcPr>
          <w:p w14:paraId="4D463956" w14:textId="488ABF52" w:rsidR="00CA31C7" w:rsidRDefault="00CA31C7" w:rsidP="00CA31C7">
            <w:r>
              <w:t>SLA</w:t>
            </w:r>
          </w:p>
        </w:tc>
        <w:tc>
          <w:tcPr>
            <w:tcW w:w="1639" w:type="dxa"/>
          </w:tcPr>
          <w:p w14:paraId="1A126DF6" w14:textId="673DF337" w:rsidR="00CA31C7" w:rsidRDefault="00CA31C7" w:rsidP="00CA31C7">
            <w:r>
              <w:t>Target</w:t>
            </w:r>
          </w:p>
        </w:tc>
        <w:tc>
          <w:tcPr>
            <w:tcW w:w="3545" w:type="dxa"/>
          </w:tcPr>
          <w:p w14:paraId="5011486A" w14:textId="26DCA5C1" w:rsidR="00CA31C7" w:rsidRDefault="00CA31C7" w:rsidP="00CA31C7">
            <w:r>
              <w:t>SLA</w:t>
            </w:r>
          </w:p>
        </w:tc>
        <w:tc>
          <w:tcPr>
            <w:tcW w:w="1639" w:type="dxa"/>
          </w:tcPr>
          <w:p w14:paraId="4213E060" w14:textId="07164415" w:rsidR="00CA31C7" w:rsidRDefault="00CA31C7" w:rsidP="00CA31C7">
            <w:r>
              <w:t>Target</w:t>
            </w:r>
          </w:p>
        </w:tc>
      </w:tr>
      <w:tr w:rsidR="00C130B5" w14:paraId="5523791B" w14:textId="77777777" w:rsidTr="00C130B5">
        <w:trPr>
          <w:cnfStyle w:val="000000100000" w:firstRow="0" w:lastRow="0" w:firstColumn="0" w:lastColumn="0" w:oddVBand="0" w:evenVBand="0" w:oddHBand="1" w:evenHBand="0" w:firstRowFirstColumn="0" w:firstRowLastColumn="0" w:lastRowFirstColumn="0" w:lastRowLastColumn="0"/>
          <w:trHeight w:val="244"/>
        </w:trPr>
        <w:tc>
          <w:tcPr>
            <w:tcW w:w="3070" w:type="dxa"/>
          </w:tcPr>
          <w:p w14:paraId="2DDB9F8D" w14:textId="5C5A193A" w:rsidR="00CA31C7" w:rsidRDefault="000E6C67" w:rsidP="00CA31C7">
            <w:r>
              <w:t>Drawdown Application</w:t>
            </w:r>
          </w:p>
        </w:tc>
        <w:tc>
          <w:tcPr>
            <w:tcW w:w="1639" w:type="dxa"/>
          </w:tcPr>
          <w:p w14:paraId="5D849E97" w14:textId="555DA089" w:rsidR="00CA31C7" w:rsidRDefault="00CA31C7" w:rsidP="00CA31C7">
            <w:r>
              <w:t xml:space="preserve">95% in </w:t>
            </w:r>
            <w:r w:rsidR="00BF541D">
              <w:t xml:space="preserve">1 </w:t>
            </w:r>
            <w:r>
              <w:t>day</w:t>
            </w:r>
          </w:p>
        </w:tc>
        <w:tc>
          <w:tcPr>
            <w:tcW w:w="3545" w:type="dxa"/>
          </w:tcPr>
          <w:p w14:paraId="43C4F3CD" w14:textId="03E491CC" w:rsidR="00CA31C7" w:rsidRDefault="000E6C67" w:rsidP="00CA31C7">
            <w:r>
              <w:t>Pension sharing enquiry/claim</w:t>
            </w:r>
          </w:p>
        </w:tc>
        <w:tc>
          <w:tcPr>
            <w:tcW w:w="1639" w:type="dxa"/>
          </w:tcPr>
          <w:p w14:paraId="75C9DD5B" w14:textId="5BE2472C" w:rsidR="00CA31C7" w:rsidRDefault="007E5577" w:rsidP="00CA31C7">
            <w:r>
              <w:t>95% in 5 days</w:t>
            </w:r>
          </w:p>
        </w:tc>
      </w:tr>
      <w:tr w:rsidR="00C130B5" w14:paraId="7E0431AA" w14:textId="77777777" w:rsidTr="00C130B5">
        <w:trPr>
          <w:cnfStyle w:val="000000010000" w:firstRow="0" w:lastRow="0" w:firstColumn="0" w:lastColumn="0" w:oddVBand="0" w:evenVBand="0" w:oddHBand="0" w:evenHBand="1" w:firstRowFirstColumn="0" w:firstRowLastColumn="0" w:lastRowFirstColumn="0" w:lastRowLastColumn="0"/>
          <w:trHeight w:val="229"/>
        </w:trPr>
        <w:tc>
          <w:tcPr>
            <w:tcW w:w="3070" w:type="dxa"/>
          </w:tcPr>
          <w:p w14:paraId="4C4A92C8" w14:textId="72B9F368" w:rsidR="00CA31C7" w:rsidRDefault="00CA31C7" w:rsidP="00CA31C7">
            <w:r>
              <w:t xml:space="preserve">Change </w:t>
            </w:r>
            <w:r w:rsidR="000E6C67">
              <w:t>Beneficiary</w:t>
            </w:r>
          </w:p>
        </w:tc>
        <w:tc>
          <w:tcPr>
            <w:tcW w:w="1639" w:type="dxa"/>
          </w:tcPr>
          <w:p w14:paraId="63EDE51C" w14:textId="62BBD4BD" w:rsidR="00CA31C7" w:rsidRDefault="00CA31C7" w:rsidP="00CA31C7">
            <w:r>
              <w:t xml:space="preserve">95% in </w:t>
            </w:r>
            <w:r w:rsidR="00BF541D">
              <w:t>5</w:t>
            </w:r>
            <w:r>
              <w:t xml:space="preserve"> days</w:t>
            </w:r>
          </w:p>
        </w:tc>
        <w:tc>
          <w:tcPr>
            <w:tcW w:w="3545" w:type="dxa"/>
          </w:tcPr>
          <w:p w14:paraId="387B56F0" w14:textId="5ADD4F85" w:rsidR="00CA31C7" w:rsidRDefault="000E6C67" w:rsidP="00CA31C7">
            <w:r>
              <w:t>Phone customer back</w:t>
            </w:r>
          </w:p>
        </w:tc>
        <w:tc>
          <w:tcPr>
            <w:tcW w:w="1639" w:type="dxa"/>
          </w:tcPr>
          <w:p w14:paraId="6EC30103" w14:textId="394CE21F" w:rsidR="00CA31C7" w:rsidRDefault="007E5577" w:rsidP="00CA31C7">
            <w:r>
              <w:t>9</w:t>
            </w:r>
            <w:r w:rsidR="00723B2C">
              <w:t>5</w:t>
            </w:r>
            <w:r>
              <w:t xml:space="preserve">% in </w:t>
            </w:r>
            <w:r w:rsidR="00723B2C">
              <w:t xml:space="preserve">1 </w:t>
            </w:r>
            <w:r>
              <w:t>day</w:t>
            </w:r>
          </w:p>
        </w:tc>
      </w:tr>
      <w:tr w:rsidR="00C130B5" w14:paraId="6E61914B" w14:textId="77777777" w:rsidTr="00C130B5">
        <w:trPr>
          <w:cnfStyle w:val="000000100000" w:firstRow="0" w:lastRow="0" w:firstColumn="0" w:lastColumn="0" w:oddVBand="0" w:evenVBand="0" w:oddHBand="1" w:evenHBand="0" w:firstRowFirstColumn="0" w:firstRowLastColumn="0" w:lastRowFirstColumn="0" w:lastRowLastColumn="0"/>
          <w:trHeight w:val="244"/>
        </w:trPr>
        <w:tc>
          <w:tcPr>
            <w:tcW w:w="3070" w:type="dxa"/>
          </w:tcPr>
          <w:p w14:paraId="1ADD2AE5" w14:textId="558B91E8" w:rsidR="00CA31C7" w:rsidRDefault="00CA31C7" w:rsidP="00CA31C7">
            <w:r>
              <w:t xml:space="preserve">Change </w:t>
            </w:r>
            <w:r w:rsidR="000E6C67">
              <w:t xml:space="preserve">personal </w:t>
            </w:r>
            <w:r>
              <w:t>details</w:t>
            </w:r>
          </w:p>
        </w:tc>
        <w:tc>
          <w:tcPr>
            <w:tcW w:w="1639" w:type="dxa"/>
          </w:tcPr>
          <w:p w14:paraId="31C348B1" w14:textId="1D7EF719" w:rsidR="00CA31C7" w:rsidRDefault="007E5577" w:rsidP="00CA31C7">
            <w:r>
              <w:t>95% in 3 days</w:t>
            </w:r>
          </w:p>
        </w:tc>
        <w:tc>
          <w:tcPr>
            <w:tcW w:w="3545" w:type="dxa"/>
          </w:tcPr>
          <w:p w14:paraId="2BC87C4D" w14:textId="72763EC8" w:rsidR="00CA31C7" w:rsidRDefault="000E6C67" w:rsidP="00CA31C7">
            <w:r>
              <w:t>–Possible claim identified</w:t>
            </w:r>
          </w:p>
        </w:tc>
        <w:tc>
          <w:tcPr>
            <w:tcW w:w="1639" w:type="dxa"/>
          </w:tcPr>
          <w:p w14:paraId="4555732F" w14:textId="3D5375A5" w:rsidR="00CA31C7" w:rsidRDefault="00723B2C" w:rsidP="00CA31C7">
            <w:r>
              <w:t>9</w:t>
            </w:r>
            <w:r w:rsidR="007E5577">
              <w:t>0% in 1 day</w:t>
            </w:r>
          </w:p>
        </w:tc>
      </w:tr>
      <w:tr w:rsidR="00C130B5" w14:paraId="624B6F2E" w14:textId="77777777" w:rsidTr="00C130B5">
        <w:trPr>
          <w:cnfStyle w:val="000000010000" w:firstRow="0" w:lastRow="0" w:firstColumn="0" w:lastColumn="0" w:oddVBand="0" w:evenVBand="0" w:oddHBand="0" w:evenHBand="1" w:firstRowFirstColumn="0" w:firstRowLastColumn="0" w:lastRowFirstColumn="0" w:lastRowLastColumn="0"/>
          <w:trHeight w:val="229"/>
        </w:trPr>
        <w:tc>
          <w:tcPr>
            <w:tcW w:w="3070" w:type="dxa"/>
          </w:tcPr>
          <w:p w14:paraId="38068444" w14:textId="45D4FF80" w:rsidR="00CA31C7" w:rsidRDefault="00CA31C7" w:rsidP="00CA31C7">
            <w:r>
              <w:t xml:space="preserve">Change </w:t>
            </w:r>
            <w:r w:rsidR="000E6C67">
              <w:t xml:space="preserve">payment </w:t>
            </w:r>
            <w:r>
              <w:t>details</w:t>
            </w:r>
          </w:p>
        </w:tc>
        <w:tc>
          <w:tcPr>
            <w:tcW w:w="1639" w:type="dxa"/>
          </w:tcPr>
          <w:p w14:paraId="6D0D03EF" w14:textId="474BBAF8" w:rsidR="00CA31C7" w:rsidRDefault="007E5577" w:rsidP="00CA31C7">
            <w:r>
              <w:t>95% in 3 days</w:t>
            </w:r>
          </w:p>
        </w:tc>
        <w:tc>
          <w:tcPr>
            <w:tcW w:w="3545" w:type="dxa"/>
          </w:tcPr>
          <w:p w14:paraId="275CE2DC" w14:textId="175AB30F" w:rsidR="00CA31C7" w:rsidRDefault="000E6C67" w:rsidP="00CA31C7">
            <w:r>
              <w:t>Retirement</w:t>
            </w:r>
          </w:p>
        </w:tc>
        <w:tc>
          <w:tcPr>
            <w:tcW w:w="1639" w:type="dxa"/>
          </w:tcPr>
          <w:p w14:paraId="3177CF4A" w14:textId="03C1E9ED" w:rsidR="00CA31C7" w:rsidRDefault="007E5577" w:rsidP="00CA31C7">
            <w:r>
              <w:t>9</w:t>
            </w:r>
            <w:r w:rsidR="00723B2C">
              <w:t>0</w:t>
            </w:r>
            <w:r>
              <w:t xml:space="preserve">% in </w:t>
            </w:r>
            <w:r w:rsidR="00723B2C">
              <w:t>5</w:t>
            </w:r>
            <w:r>
              <w:t xml:space="preserve"> days</w:t>
            </w:r>
          </w:p>
        </w:tc>
      </w:tr>
      <w:tr w:rsidR="00C130B5" w14:paraId="52DF55F7" w14:textId="77777777" w:rsidTr="00C130B5">
        <w:trPr>
          <w:cnfStyle w:val="000000100000" w:firstRow="0" w:lastRow="0" w:firstColumn="0" w:lastColumn="0" w:oddVBand="0" w:evenVBand="0" w:oddHBand="1" w:evenHBand="0" w:firstRowFirstColumn="0" w:firstRowLastColumn="0" w:lastRowFirstColumn="0" w:lastRowLastColumn="0"/>
          <w:trHeight w:val="229"/>
        </w:trPr>
        <w:tc>
          <w:tcPr>
            <w:tcW w:w="3070" w:type="dxa"/>
          </w:tcPr>
          <w:p w14:paraId="3B037187" w14:textId="4137D12F" w:rsidR="00CA31C7" w:rsidRDefault="00CA31C7" w:rsidP="00CA31C7">
            <w:r>
              <w:t xml:space="preserve">Change </w:t>
            </w:r>
            <w:r w:rsidR="000E6C67">
              <w:t>salary details</w:t>
            </w:r>
          </w:p>
        </w:tc>
        <w:tc>
          <w:tcPr>
            <w:tcW w:w="1639" w:type="dxa"/>
          </w:tcPr>
          <w:p w14:paraId="0E27215C" w14:textId="1B701934" w:rsidR="00CA31C7" w:rsidRDefault="007E5577" w:rsidP="00CA31C7">
            <w:r>
              <w:t>95% in 3 days</w:t>
            </w:r>
          </w:p>
        </w:tc>
        <w:tc>
          <w:tcPr>
            <w:tcW w:w="3545" w:type="dxa"/>
          </w:tcPr>
          <w:p w14:paraId="0E378DAF" w14:textId="1560D8BC" w:rsidR="00CA31C7" w:rsidRDefault="000E6C67" w:rsidP="00CA31C7">
            <w:r>
              <w:t>Contribution schedule in - Auto</w:t>
            </w:r>
          </w:p>
        </w:tc>
        <w:tc>
          <w:tcPr>
            <w:tcW w:w="1639" w:type="dxa"/>
          </w:tcPr>
          <w:p w14:paraId="04431C17" w14:textId="0D0EA7A0" w:rsidR="00CA31C7" w:rsidRDefault="00723B2C" w:rsidP="00CA31C7">
            <w:r>
              <w:t>100</w:t>
            </w:r>
            <w:r w:rsidR="007E5577">
              <w:t xml:space="preserve">% in </w:t>
            </w:r>
            <w:r>
              <w:t>1</w:t>
            </w:r>
            <w:r w:rsidR="007E5577">
              <w:t xml:space="preserve"> day</w:t>
            </w:r>
          </w:p>
        </w:tc>
      </w:tr>
      <w:tr w:rsidR="00C130B5" w14:paraId="0FBC0B18" w14:textId="77777777" w:rsidTr="00C130B5">
        <w:trPr>
          <w:cnfStyle w:val="000000010000" w:firstRow="0" w:lastRow="0" w:firstColumn="0" w:lastColumn="0" w:oddVBand="0" w:evenVBand="0" w:oddHBand="0" w:evenHBand="1" w:firstRowFirstColumn="0" w:firstRowLastColumn="0" w:lastRowFirstColumn="0" w:lastRowLastColumn="0"/>
          <w:trHeight w:val="244"/>
        </w:trPr>
        <w:tc>
          <w:tcPr>
            <w:tcW w:w="3070" w:type="dxa"/>
          </w:tcPr>
          <w:p w14:paraId="1BC302A0" w14:textId="06416365" w:rsidR="00CA31C7" w:rsidRDefault="000E6C67" w:rsidP="00CA31C7">
            <w:r>
              <w:t>Change target retirement age</w:t>
            </w:r>
          </w:p>
        </w:tc>
        <w:tc>
          <w:tcPr>
            <w:tcW w:w="1639" w:type="dxa"/>
          </w:tcPr>
          <w:p w14:paraId="234876E3" w14:textId="158ECAFF" w:rsidR="00CA31C7" w:rsidRDefault="007E5577" w:rsidP="00CA31C7">
            <w:r>
              <w:t xml:space="preserve">95% in </w:t>
            </w:r>
            <w:r w:rsidR="00723B2C">
              <w:t>3</w:t>
            </w:r>
            <w:r>
              <w:t xml:space="preserve"> days</w:t>
            </w:r>
          </w:p>
        </w:tc>
        <w:tc>
          <w:tcPr>
            <w:tcW w:w="3545" w:type="dxa"/>
          </w:tcPr>
          <w:p w14:paraId="2E05B63C" w14:textId="1C8763CF" w:rsidR="00CA31C7" w:rsidRDefault="00145260" w:rsidP="00CA31C7">
            <w:r>
              <w:t>scheme</w:t>
            </w:r>
            <w:r w:rsidR="000E6C67">
              <w:t xml:space="preserve"> leaver</w:t>
            </w:r>
          </w:p>
        </w:tc>
        <w:tc>
          <w:tcPr>
            <w:tcW w:w="1639" w:type="dxa"/>
          </w:tcPr>
          <w:p w14:paraId="2C2CF87C" w14:textId="311DB61B" w:rsidR="00CA31C7" w:rsidRDefault="00723B2C" w:rsidP="00CA31C7">
            <w:r>
              <w:t>95</w:t>
            </w:r>
            <w:r w:rsidR="007E5577">
              <w:t xml:space="preserve">% in </w:t>
            </w:r>
            <w:r>
              <w:t>8</w:t>
            </w:r>
            <w:r w:rsidR="007E5577">
              <w:t xml:space="preserve"> day</w:t>
            </w:r>
            <w:r>
              <w:t>s</w:t>
            </w:r>
          </w:p>
        </w:tc>
      </w:tr>
      <w:tr w:rsidR="00C130B5" w14:paraId="001D4231" w14:textId="77777777" w:rsidTr="00C130B5">
        <w:trPr>
          <w:cnfStyle w:val="000000100000" w:firstRow="0" w:lastRow="0" w:firstColumn="0" w:lastColumn="0" w:oddVBand="0" w:evenVBand="0" w:oddHBand="1" w:evenHBand="0" w:firstRowFirstColumn="0" w:firstRowLastColumn="0" w:lastRowFirstColumn="0" w:lastRowLastColumn="0"/>
          <w:trHeight w:val="229"/>
        </w:trPr>
        <w:tc>
          <w:tcPr>
            <w:tcW w:w="3070" w:type="dxa"/>
          </w:tcPr>
          <w:p w14:paraId="088B78B4" w14:textId="5BDFE586" w:rsidR="00CA31C7" w:rsidRDefault="000E6C67" w:rsidP="00CA31C7">
            <w:r>
              <w:t>Changes via DTM</w:t>
            </w:r>
          </w:p>
        </w:tc>
        <w:tc>
          <w:tcPr>
            <w:tcW w:w="1639" w:type="dxa"/>
          </w:tcPr>
          <w:p w14:paraId="69A2477D" w14:textId="27B0B02A" w:rsidR="00CA31C7" w:rsidRDefault="00723B2C" w:rsidP="00CA31C7">
            <w:r>
              <w:t>95</w:t>
            </w:r>
            <w:r w:rsidR="007E5577">
              <w:t xml:space="preserve">% in </w:t>
            </w:r>
            <w:r>
              <w:t>3</w:t>
            </w:r>
            <w:r w:rsidR="007E5577">
              <w:t xml:space="preserve"> days</w:t>
            </w:r>
          </w:p>
        </w:tc>
        <w:tc>
          <w:tcPr>
            <w:tcW w:w="3545" w:type="dxa"/>
          </w:tcPr>
          <w:p w14:paraId="119D65CC" w14:textId="40630C55" w:rsidR="00CA31C7" w:rsidRDefault="000E6C67" w:rsidP="00CA31C7">
            <w:r>
              <w:t>Single contribution</w:t>
            </w:r>
          </w:p>
        </w:tc>
        <w:tc>
          <w:tcPr>
            <w:tcW w:w="1639" w:type="dxa"/>
          </w:tcPr>
          <w:p w14:paraId="5E56FF5A" w14:textId="5EAC2D4B" w:rsidR="00CA31C7" w:rsidRDefault="00C130B5" w:rsidP="00CA31C7">
            <w:r>
              <w:t>9</w:t>
            </w:r>
            <w:r w:rsidR="00723B2C">
              <w:t>5</w:t>
            </w:r>
            <w:r>
              <w:t xml:space="preserve">% in </w:t>
            </w:r>
            <w:r w:rsidR="00723B2C">
              <w:t xml:space="preserve">4 </w:t>
            </w:r>
            <w:r>
              <w:t>day</w:t>
            </w:r>
            <w:r w:rsidR="00723B2C">
              <w:t>s</w:t>
            </w:r>
          </w:p>
        </w:tc>
      </w:tr>
      <w:tr w:rsidR="00CA31C7" w14:paraId="6ACBA332" w14:textId="77777777" w:rsidTr="00142844">
        <w:trPr>
          <w:cnfStyle w:val="000000010000" w:firstRow="0" w:lastRow="0" w:firstColumn="0" w:lastColumn="0" w:oddVBand="0" w:evenVBand="0" w:oddHBand="0" w:evenHBand="1" w:firstRowFirstColumn="0" w:firstRowLastColumn="0" w:lastRowFirstColumn="0" w:lastRowLastColumn="0"/>
          <w:trHeight w:val="229"/>
        </w:trPr>
        <w:tc>
          <w:tcPr>
            <w:tcW w:w="3070" w:type="dxa"/>
          </w:tcPr>
          <w:p w14:paraId="0F6EB36D" w14:textId="0E52855E" w:rsidR="00CA31C7" w:rsidRDefault="000E6C67" w:rsidP="00CA31C7">
            <w:r>
              <w:t>DTM New Joiners</w:t>
            </w:r>
          </w:p>
        </w:tc>
        <w:tc>
          <w:tcPr>
            <w:tcW w:w="1639" w:type="dxa"/>
          </w:tcPr>
          <w:p w14:paraId="24E61B9D" w14:textId="55D64518" w:rsidR="00CA31C7" w:rsidRDefault="007E5577" w:rsidP="00CA31C7">
            <w:r>
              <w:t>9</w:t>
            </w:r>
            <w:r w:rsidR="00723B2C">
              <w:t>5</w:t>
            </w:r>
            <w:r>
              <w:t xml:space="preserve">% in </w:t>
            </w:r>
            <w:r w:rsidR="00723B2C">
              <w:t>3</w:t>
            </w:r>
            <w:r>
              <w:t xml:space="preserve"> day</w:t>
            </w:r>
            <w:r w:rsidR="00723B2C">
              <w:t>s</w:t>
            </w:r>
          </w:p>
        </w:tc>
        <w:tc>
          <w:tcPr>
            <w:tcW w:w="3545" w:type="dxa"/>
          </w:tcPr>
          <w:p w14:paraId="2ABE26A9" w14:textId="1825959E" w:rsidR="00CA31C7" w:rsidRDefault="000E6C67" w:rsidP="00CA31C7">
            <w:r>
              <w:t>Statement Request</w:t>
            </w:r>
          </w:p>
        </w:tc>
        <w:tc>
          <w:tcPr>
            <w:tcW w:w="1639" w:type="dxa"/>
          </w:tcPr>
          <w:p w14:paraId="5BDDE5F4" w14:textId="74E99773" w:rsidR="00CA31C7" w:rsidRDefault="00723B2C" w:rsidP="00CA31C7">
            <w:r>
              <w:t>100</w:t>
            </w:r>
            <w:r w:rsidR="00C130B5">
              <w:t>% in 5 days</w:t>
            </w:r>
          </w:p>
        </w:tc>
      </w:tr>
      <w:tr w:rsidR="007E5577" w14:paraId="22501E67" w14:textId="77777777" w:rsidTr="00142844">
        <w:trPr>
          <w:cnfStyle w:val="000000100000" w:firstRow="0" w:lastRow="0" w:firstColumn="0" w:lastColumn="0" w:oddVBand="0" w:evenVBand="0" w:oddHBand="1" w:evenHBand="0" w:firstRowFirstColumn="0" w:firstRowLastColumn="0" w:lastRowFirstColumn="0" w:lastRowLastColumn="0"/>
          <w:trHeight w:val="244"/>
        </w:trPr>
        <w:tc>
          <w:tcPr>
            <w:tcW w:w="3070" w:type="dxa"/>
          </w:tcPr>
          <w:p w14:paraId="77059C59" w14:textId="40641ACD" w:rsidR="007E5577" w:rsidRDefault="000E6C67" w:rsidP="00CA31C7">
            <w:r>
              <w:t>Fund value request</w:t>
            </w:r>
          </w:p>
        </w:tc>
        <w:tc>
          <w:tcPr>
            <w:tcW w:w="1639" w:type="dxa"/>
          </w:tcPr>
          <w:p w14:paraId="2D4C065B" w14:textId="4DB3BF1D" w:rsidR="007E5577" w:rsidRDefault="00C130B5" w:rsidP="00CA31C7">
            <w:r>
              <w:t>9</w:t>
            </w:r>
            <w:r w:rsidR="00723B2C">
              <w:t>5</w:t>
            </w:r>
            <w:r>
              <w:t xml:space="preserve">% in </w:t>
            </w:r>
            <w:r w:rsidR="00723B2C">
              <w:t>3</w:t>
            </w:r>
            <w:r>
              <w:t xml:space="preserve"> days</w:t>
            </w:r>
          </w:p>
        </w:tc>
        <w:tc>
          <w:tcPr>
            <w:tcW w:w="3545" w:type="dxa"/>
          </w:tcPr>
          <w:p w14:paraId="589CACFF" w14:textId="03B794A1" w:rsidR="007E5577" w:rsidRDefault="007E5577" w:rsidP="00CA31C7">
            <w:r>
              <w:t xml:space="preserve">Transfer </w:t>
            </w:r>
            <w:r w:rsidR="000E6C67">
              <w:t>out claim</w:t>
            </w:r>
          </w:p>
        </w:tc>
        <w:tc>
          <w:tcPr>
            <w:tcW w:w="1639" w:type="dxa"/>
          </w:tcPr>
          <w:p w14:paraId="0DA5879C" w14:textId="529B0472" w:rsidR="007E5577" w:rsidRDefault="00C130B5" w:rsidP="00CA31C7">
            <w:r>
              <w:t>9</w:t>
            </w:r>
            <w:r w:rsidR="00723B2C">
              <w:t>0</w:t>
            </w:r>
            <w:r>
              <w:t xml:space="preserve">% in </w:t>
            </w:r>
            <w:r w:rsidR="00723B2C">
              <w:t>1</w:t>
            </w:r>
            <w:r>
              <w:t xml:space="preserve"> day</w:t>
            </w:r>
          </w:p>
        </w:tc>
      </w:tr>
      <w:tr w:rsidR="007E5577" w14:paraId="56EB5880" w14:textId="77777777" w:rsidTr="00142844">
        <w:trPr>
          <w:cnfStyle w:val="000000010000" w:firstRow="0" w:lastRow="0" w:firstColumn="0" w:lastColumn="0" w:oddVBand="0" w:evenVBand="0" w:oddHBand="0" w:evenHBand="1" w:firstRowFirstColumn="0" w:firstRowLastColumn="0" w:lastRowFirstColumn="0" w:lastRowLastColumn="0"/>
          <w:trHeight w:val="229"/>
        </w:trPr>
        <w:tc>
          <w:tcPr>
            <w:tcW w:w="3070" w:type="dxa"/>
          </w:tcPr>
          <w:p w14:paraId="2E62ED42" w14:textId="20067863" w:rsidR="007E5577" w:rsidRDefault="000E6C67" w:rsidP="00CA31C7">
            <w:r>
              <w:t>Internet information</w:t>
            </w:r>
          </w:p>
        </w:tc>
        <w:tc>
          <w:tcPr>
            <w:tcW w:w="1639" w:type="dxa"/>
          </w:tcPr>
          <w:p w14:paraId="2434D1F3" w14:textId="7E2F1D13" w:rsidR="007E5577" w:rsidRDefault="00723B2C" w:rsidP="00CA31C7">
            <w:r>
              <w:t>100</w:t>
            </w:r>
            <w:r w:rsidR="00C130B5">
              <w:t xml:space="preserve">% in </w:t>
            </w:r>
            <w:r>
              <w:t xml:space="preserve">3 </w:t>
            </w:r>
            <w:r w:rsidR="00C130B5">
              <w:t>days</w:t>
            </w:r>
          </w:p>
        </w:tc>
        <w:tc>
          <w:tcPr>
            <w:tcW w:w="3545" w:type="dxa"/>
          </w:tcPr>
          <w:p w14:paraId="19670A02" w14:textId="0424BF40" w:rsidR="007E5577" w:rsidRDefault="000E6C67" w:rsidP="00CA31C7">
            <w:r>
              <w:t>Transfer out</w:t>
            </w:r>
          </w:p>
        </w:tc>
        <w:tc>
          <w:tcPr>
            <w:tcW w:w="1639" w:type="dxa"/>
          </w:tcPr>
          <w:p w14:paraId="20F7A115" w14:textId="50ADA82E" w:rsidR="007E5577" w:rsidRDefault="00723B2C" w:rsidP="00CA31C7">
            <w:r>
              <w:t>95% in 5 days</w:t>
            </w:r>
          </w:p>
        </w:tc>
      </w:tr>
      <w:tr w:rsidR="000E6C67" w14:paraId="3730CB60" w14:textId="77777777" w:rsidTr="00142844">
        <w:trPr>
          <w:cnfStyle w:val="000000100000" w:firstRow="0" w:lastRow="0" w:firstColumn="0" w:lastColumn="0" w:oddVBand="0" w:evenVBand="0" w:oddHBand="1" w:evenHBand="0" w:firstRowFirstColumn="0" w:firstRowLastColumn="0" w:lastRowFirstColumn="0" w:lastRowLastColumn="0"/>
          <w:trHeight w:val="229"/>
        </w:trPr>
        <w:tc>
          <w:tcPr>
            <w:tcW w:w="3070" w:type="dxa"/>
          </w:tcPr>
          <w:p w14:paraId="07D7221F" w14:textId="48989610" w:rsidR="000E6C67" w:rsidDel="000E6C67" w:rsidRDefault="000E6C67" w:rsidP="00CA31C7">
            <w:r>
              <w:t>Member general details request</w:t>
            </w:r>
          </w:p>
        </w:tc>
        <w:tc>
          <w:tcPr>
            <w:tcW w:w="1639" w:type="dxa"/>
          </w:tcPr>
          <w:p w14:paraId="6344A4B9" w14:textId="1A03A0FF" w:rsidR="000E6C67" w:rsidRDefault="00723B2C" w:rsidP="00CA31C7">
            <w:r>
              <w:t>95% in 3 days</w:t>
            </w:r>
          </w:p>
        </w:tc>
        <w:tc>
          <w:tcPr>
            <w:tcW w:w="3545" w:type="dxa"/>
          </w:tcPr>
          <w:p w14:paraId="5B704684" w14:textId="3A5597C3" w:rsidR="000E6C67" w:rsidRDefault="000E6C67" w:rsidP="00CA31C7">
            <w:r>
              <w:t>Transfer In</w:t>
            </w:r>
          </w:p>
        </w:tc>
        <w:tc>
          <w:tcPr>
            <w:tcW w:w="1639" w:type="dxa"/>
          </w:tcPr>
          <w:p w14:paraId="7D4E12B6" w14:textId="00C7F8B8" w:rsidR="000E6C67" w:rsidRDefault="00723B2C" w:rsidP="00CA31C7">
            <w:r>
              <w:t>95% in 5 days</w:t>
            </w:r>
          </w:p>
        </w:tc>
      </w:tr>
      <w:tr w:rsidR="000E6C67" w14:paraId="109FEA23" w14:textId="77777777" w:rsidTr="00142844">
        <w:trPr>
          <w:cnfStyle w:val="000000010000" w:firstRow="0" w:lastRow="0" w:firstColumn="0" w:lastColumn="0" w:oddVBand="0" w:evenVBand="0" w:oddHBand="0" w:evenHBand="1" w:firstRowFirstColumn="0" w:firstRowLastColumn="0" w:lastRowFirstColumn="0" w:lastRowLastColumn="0"/>
          <w:trHeight w:val="229"/>
        </w:trPr>
        <w:tc>
          <w:tcPr>
            <w:tcW w:w="3070" w:type="dxa"/>
          </w:tcPr>
          <w:p w14:paraId="30608CBB" w14:textId="55D65638" w:rsidR="000E6C67" w:rsidDel="000E6C67" w:rsidRDefault="000E6C67" w:rsidP="00CA31C7">
            <w:r>
              <w:t>Bacs Payment In</w:t>
            </w:r>
          </w:p>
        </w:tc>
        <w:tc>
          <w:tcPr>
            <w:tcW w:w="1639" w:type="dxa"/>
          </w:tcPr>
          <w:p w14:paraId="03039CFB" w14:textId="728DA4DA" w:rsidR="000E6C67" w:rsidRDefault="00723B2C" w:rsidP="00CA31C7">
            <w:r>
              <w:t>100% in 2 days</w:t>
            </w:r>
          </w:p>
        </w:tc>
        <w:tc>
          <w:tcPr>
            <w:tcW w:w="3545" w:type="dxa"/>
          </w:tcPr>
          <w:p w14:paraId="3CAA01C1" w14:textId="0457305C" w:rsidR="000E6C67" w:rsidRDefault="00723B2C" w:rsidP="00CA31C7">
            <w:r>
              <w:t>Switch Request</w:t>
            </w:r>
          </w:p>
        </w:tc>
        <w:tc>
          <w:tcPr>
            <w:tcW w:w="1639" w:type="dxa"/>
          </w:tcPr>
          <w:p w14:paraId="61122846" w14:textId="58CF8618" w:rsidR="000E6C67" w:rsidRDefault="00723B2C" w:rsidP="00CA31C7">
            <w:r>
              <w:t>100% in 1 day</w:t>
            </w:r>
          </w:p>
        </w:tc>
      </w:tr>
      <w:tr w:rsidR="00723B2C" w14:paraId="2593ED46" w14:textId="77777777" w:rsidTr="00142844">
        <w:trPr>
          <w:cnfStyle w:val="000000100000" w:firstRow="0" w:lastRow="0" w:firstColumn="0" w:lastColumn="0" w:oddVBand="0" w:evenVBand="0" w:oddHBand="1" w:evenHBand="0" w:firstRowFirstColumn="0" w:firstRowLastColumn="0" w:lastRowFirstColumn="0" w:lastRowLastColumn="0"/>
          <w:trHeight w:val="229"/>
        </w:trPr>
        <w:tc>
          <w:tcPr>
            <w:tcW w:w="3070" w:type="dxa"/>
          </w:tcPr>
          <w:p w14:paraId="3F4B4B26" w14:textId="1C0AEC3E" w:rsidR="00723B2C" w:rsidRDefault="00723B2C" w:rsidP="00CA31C7">
            <w:r>
              <w:t>Information request</w:t>
            </w:r>
          </w:p>
        </w:tc>
        <w:tc>
          <w:tcPr>
            <w:tcW w:w="1639" w:type="dxa"/>
          </w:tcPr>
          <w:p w14:paraId="468ECB21" w14:textId="3C2A585C" w:rsidR="00723B2C" w:rsidRDefault="00723B2C" w:rsidP="00CA31C7">
            <w:r>
              <w:t>95% in 5 days</w:t>
            </w:r>
          </w:p>
        </w:tc>
        <w:tc>
          <w:tcPr>
            <w:tcW w:w="3545" w:type="dxa"/>
          </w:tcPr>
          <w:p w14:paraId="6F139CBC" w14:textId="77777777" w:rsidR="00723B2C" w:rsidRDefault="00723B2C" w:rsidP="00CA31C7"/>
        </w:tc>
        <w:tc>
          <w:tcPr>
            <w:tcW w:w="1639" w:type="dxa"/>
          </w:tcPr>
          <w:p w14:paraId="5E70B9C7" w14:textId="77777777" w:rsidR="00723B2C" w:rsidRDefault="00723B2C" w:rsidP="00CA31C7"/>
        </w:tc>
      </w:tr>
    </w:tbl>
    <w:p w14:paraId="5FB2983F" w14:textId="67C3C89B" w:rsidR="009B2F1C" w:rsidRPr="00B217D5" w:rsidRDefault="00792EA3"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The Trustee monitors these SLAs on a regular basis, with the provider being asked to account for shortfalls in performance</w:t>
      </w:r>
      <w:r w:rsidR="009B2F1C" w:rsidRPr="00B217D5">
        <w:rPr>
          <w:rFonts w:ascii="Segoe UI" w:hAnsi="Segoe UI" w:cs="Segoe UI"/>
          <w:sz w:val="20"/>
          <w:szCs w:val="20"/>
        </w:rPr>
        <w:t>.</w:t>
      </w:r>
    </w:p>
    <w:p w14:paraId="504DF270" w14:textId="4547BBF9" w:rsidR="001625C9" w:rsidRPr="00B217D5" w:rsidRDefault="001625C9"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 xml:space="preserve">The Trustee received administration reports produced by Aegon, which are reviewed by the Trustee regularly, enabling </w:t>
      </w:r>
      <w:r w:rsidR="003C4F58">
        <w:rPr>
          <w:rFonts w:ascii="Segoe UI" w:hAnsi="Segoe UI" w:cs="Segoe UI"/>
          <w:sz w:val="20"/>
          <w:szCs w:val="20"/>
        </w:rPr>
        <w:t>it</w:t>
      </w:r>
      <w:r w:rsidRPr="00B217D5">
        <w:rPr>
          <w:rFonts w:ascii="Segoe UI" w:hAnsi="Segoe UI" w:cs="Segoe UI"/>
          <w:sz w:val="20"/>
          <w:szCs w:val="20"/>
        </w:rPr>
        <w:t xml:space="preserve"> to assess if the requirements for the processing of financial transactions are being met</w:t>
      </w:r>
      <w:r w:rsidR="003C4F58">
        <w:rPr>
          <w:rFonts w:ascii="Segoe UI" w:hAnsi="Segoe UI" w:cs="Segoe UI"/>
          <w:sz w:val="20"/>
          <w:szCs w:val="20"/>
        </w:rPr>
        <w:t>.</w:t>
      </w:r>
      <w:r w:rsidRPr="00B217D5">
        <w:rPr>
          <w:rFonts w:ascii="Segoe UI" w:hAnsi="Segoe UI" w:cs="Segoe UI"/>
          <w:sz w:val="20"/>
          <w:szCs w:val="20"/>
        </w:rPr>
        <w:t xml:space="preserve"> Aegon is also invited to attend Trustee’s meetings and reports are provided to support their attendance. </w:t>
      </w:r>
    </w:p>
    <w:p w14:paraId="67ECAFB6" w14:textId="6C03079C" w:rsidR="001625C9" w:rsidRPr="00B217D5" w:rsidRDefault="001625C9"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 xml:space="preserve">The SLAs with Aegon set out the approach (including timescales) to processing core financial transactions. </w:t>
      </w:r>
      <w:bookmarkStart w:id="1" w:name="_Hlk115339317"/>
      <w:r w:rsidR="00430C85" w:rsidRPr="00B217D5">
        <w:rPr>
          <w:rFonts w:ascii="Segoe UI" w:hAnsi="Segoe UI" w:cs="Segoe UI"/>
          <w:sz w:val="20"/>
          <w:szCs w:val="20"/>
        </w:rPr>
        <w:t xml:space="preserve">The Trustee will schedule a high-level review of the SLAs on a periodic basis (with insight from Barnett Waddingham) </w:t>
      </w:r>
      <w:r w:rsidRPr="00B217D5">
        <w:rPr>
          <w:rFonts w:ascii="Segoe UI" w:hAnsi="Segoe UI" w:cs="Segoe UI"/>
          <w:sz w:val="20"/>
          <w:szCs w:val="20"/>
        </w:rPr>
        <w:t xml:space="preserve">to ensure they remain appropriate and meet legislative requirements. </w:t>
      </w:r>
    </w:p>
    <w:bookmarkEnd w:id="1"/>
    <w:p w14:paraId="164589EA" w14:textId="59E5E069" w:rsidR="001625C9" w:rsidRPr="00B217D5" w:rsidRDefault="00E94071"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The Trustee</w:t>
      </w:r>
      <w:r w:rsidR="00BF1605" w:rsidRPr="00B217D5">
        <w:rPr>
          <w:rFonts w:ascii="Segoe UI" w:hAnsi="Segoe UI" w:cs="Segoe UI"/>
          <w:sz w:val="20"/>
          <w:szCs w:val="20"/>
        </w:rPr>
        <w:t xml:space="preserve"> appoints an independent auditor to carry out an annual audit of the Scheme, including the material financial transactions that have taken place during the Scheme year. The auditors carry out spot checks to ensure that contributions to the Scheme or payments made by the Scheme are paid in accordance with the Scheme’s rules. </w:t>
      </w:r>
    </w:p>
    <w:p w14:paraId="4E91EC77" w14:textId="6B1F7AD3" w:rsidR="007F3AA0" w:rsidRPr="00B217D5" w:rsidRDefault="007F3AA0"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lastRenderedPageBreak/>
        <w:t xml:space="preserve">The Scheme’s Risk Register details the key risks to Scheme members and is monitored and reviewed on at least an annual basis. </w:t>
      </w:r>
      <w:r w:rsidR="009A24EA" w:rsidRPr="00B217D5">
        <w:rPr>
          <w:rFonts w:ascii="Segoe UI" w:hAnsi="Segoe UI" w:cs="Segoe UI"/>
          <w:sz w:val="20"/>
          <w:szCs w:val="20"/>
        </w:rPr>
        <w:t xml:space="preserve">The risk register sets out controls to mitigate the effects of these risks. </w:t>
      </w:r>
    </w:p>
    <w:p w14:paraId="00A7516A" w14:textId="1D4B2D0A" w:rsidR="003F42DD" w:rsidRPr="00DF2421" w:rsidRDefault="00EB68D9" w:rsidP="00847A5D">
      <w:pPr>
        <w:pStyle w:val="Heading2"/>
      </w:pPr>
      <w:r w:rsidRPr="00DF2421">
        <w:t xml:space="preserve">Performance </w:t>
      </w:r>
      <w:r w:rsidR="00C665DD" w:rsidRPr="00DF2421">
        <w:t xml:space="preserve">during </w:t>
      </w:r>
      <w:r w:rsidR="00E2111B" w:rsidRPr="00DF2421">
        <w:t>the scheme year</w:t>
      </w:r>
    </w:p>
    <w:p w14:paraId="7A17B5FC" w14:textId="68C922D9" w:rsidR="007C6FB7" w:rsidRDefault="007C6FB7"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rPr>
      </w:pPr>
      <w:r>
        <w:rPr>
          <w:rFonts w:eastAsia="Times New Roman" w:cs="Segoe UI"/>
          <w:bCs/>
        </w:rPr>
        <w:t>T</w:t>
      </w:r>
      <w:r w:rsidR="007F3AA0" w:rsidRPr="00DF2421">
        <w:rPr>
          <w:rFonts w:eastAsia="Times New Roman" w:cs="Segoe UI"/>
          <w:bCs/>
        </w:rPr>
        <w:t xml:space="preserve">he Trustee </w:t>
      </w:r>
      <w:r>
        <w:rPr>
          <w:rFonts w:eastAsia="Times New Roman" w:cs="Segoe UI"/>
          <w:bCs/>
        </w:rPr>
        <w:t xml:space="preserve">acknowledges the improvement in </w:t>
      </w:r>
      <w:r w:rsidR="007F3AA0" w:rsidRPr="00DF2421">
        <w:rPr>
          <w:rFonts w:eastAsia="Times New Roman" w:cs="Segoe UI"/>
          <w:bCs/>
        </w:rPr>
        <w:t>performance against SLAs for work due between the periods of this statement</w:t>
      </w:r>
      <w:r w:rsidR="004B50A8">
        <w:rPr>
          <w:rFonts w:eastAsia="Times New Roman" w:cs="Segoe UI"/>
          <w:bCs/>
        </w:rPr>
        <w:t>,</w:t>
      </w:r>
      <w:r w:rsidR="007F3AA0" w:rsidRPr="00447141">
        <w:rPr>
          <w:rFonts w:eastAsia="Times New Roman" w:cs="Segoe UI"/>
          <w:bCs/>
        </w:rPr>
        <w:t xml:space="preserve"> averaging </w:t>
      </w:r>
      <w:r w:rsidR="004B50A8">
        <w:rPr>
          <w:rFonts w:eastAsia="Times New Roman" w:cs="Segoe UI"/>
          <w:bCs/>
        </w:rPr>
        <w:t>91</w:t>
      </w:r>
      <w:r w:rsidR="007F3AA0" w:rsidRPr="00447141">
        <w:rPr>
          <w:rFonts w:eastAsia="Times New Roman" w:cs="Segoe UI"/>
          <w:bCs/>
        </w:rPr>
        <w:t>%</w:t>
      </w:r>
      <w:r>
        <w:rPr>
          <w:rFonts w:eastAsia="Times New Roman" w:cs="Segoe UI"/>
          <w:bCs/>
        </w:rPr>
        <w:t xml:space="preserve">. </w:t>
      </w:r>
      <w:r w:rsidR="007F3AA0" w:rsidRPr="00447141">
        <w:rPr>
          <w:rFonts w:eastAsia="Times New Roman" w:cs="Segoe UI"/>
          <w:bCs/>
        </w:rPr>
        <w:t>over the year</w:t>
      </w:r>
      <w:r>
        <w:rPr>
          <w:rFonts w:eastAsia="Times New Roman" w:cs="Segoe UI"/>
          <w:bCs/>
        </w:rPr>
        <w:t xml:space="preserve">.  </w:t>
      </w:r>
      <w:r w:rsidR="004B50A8">
        <w:rPr>
          <w:rFonts w:eastAsia="Times New Roman" w:cs="Segoe UI"/>
          <w:bCs/>
        </w:rPr>
        <w:t xml:space="preserve">In the previous scheme year, the </w:t>
      </w:r>
      <w:r w:rsidR="00F56E2A">
        <w:rPr>
          <w:rFonts w:eastAsia="Times New Roman" w:cs="Segoe UI"/>
          <w:bCs/>
        </w:rPr>
        <w:t>Trustee</w:t>
      </w:r>
      <w:r w:rsidR="004B50A8">
        <w:rPr>
          <w:rFonts w:eastAsia="Times New Roman" w:cs="Segoe UI"/>
          <w:bCs/>
        </w:rPr>
        <w:t xml:space="preserve"> </w:t>
      </w:r>
      <w:r w:rsidR="00F56E2A">
        <w:rPr>
          <w:rFonts w:eastAsia="Times New Roman" w:cs="Segoe UI"/>
          <w:bCs/>
        </w:rPr>
        <w:t xml:space="preserve">held conversations with Aegon’s senior management with regards to the shortfall in </w:t>
      </w:r>
      <w:r w:rsidR="003C4F58">
        <w:rPr>
          <w:rFonts w:eastAsia="Times New Roman" w:cs="Segoe UI"/>
          <w:bCs/>
        </w:rPr>
        <w:t xml:space="preserve">administrative </w:t>
      </w:r>
      <w:r w:rsidR="00F56E2A">
        <w:rPr>
          <w:rFonts w:eastAsia="Times New Roman" w:cs="Segoe UI"/>
          <w:bCs/>
        </w:rPr>
        <w:t xml:space="preserve">performance. Aegon outlined </w:t>
      </w:r>
      <w:r w:rsidR="003C4F58">
        <w:rPr>
          <w:rFonts w:eastAsia="Times New Roman" w:cs="Segoe UI"/>
          <w:bCs/>
        </w:rPr>
        <w:t>its</w:t>
      </w:r>
      <w:r w:rsidR="00F56E2A">
        <w:rPr>
          <w:rFonts w:eastAsia="Times New Roman" w:cs="Segoe UI"/>
          <w:bCs/>
        </w:rPr>
        <w:t xml:space="preserve"> plan to remedy the issues</w:t>
      </w:r>
      <w:r w:rsidR="004B50A8">
        <w:rPr>
          <w:rFonts w:eastAsia="Times New Roman" w:cs="Segoe UI"/>
          <w:bCs/>
        </w:rPr>
        <w:t xml:space="preserve">, </w:t>
      </w:r>
      <w:r>
        <w:rPr>
          <w:rFonts w:eastAsia="Times New Roman" w:cs="Segoe UI"/>
          <w:bCs/>
        </w:rPr>
        <w:t xml:space="preserve">which included increasing staffing levels to handle the volume of work and enhanced training for new hires to provide them with the </w:t>
      </w:r>
      <w:r w:rsidR="00D62B44">
        <w:rPr>
          <w:rFonts w:eastAsia="Times New Roman" w:cs="Segoe UI"/>
          <w:bCs/>
        </w:rPr>
        <w:t>required</w:t>
      </w:r>
      <w:r>
        <w:rPr>
          <w:rFonts w:eastAsia="Times New Roman" w:cs="Segoe UI"/>
          <w:bCs/>
        </w:rPr>
        <w:t xml:space="preserve"> product and technical knowledge.  </w:t>
      </w:r>
      <w:r w:rsidR="004B50A8">
        <w:rPr>
          <w:rFonts w:eastAsia="Times New Roman" w:cs="Segoe UI"/>
          <w:bCs/>
        </w:rPr>
        <w:t>Since then, the performance has continued to improve, rising from 80% in Q2 2022, to 99% in Q1 2023.</w:t>
      </w:r>
      <w:r w:rsidR="00F56E2A">
        <w:rPr>
          <w:rFonts w:eastAsia="Times New Roman" w:cs="Segoe UI"/>
          <w:bCs/>
        </w:rPr>
        <w:t xml:space="preserve"> </w:t>
      </w:r>
    </w:p>
    <w:p w14:paraId="273CFF4B" w14:textId="2B1F83CA" w:rsidR="00D62B44" w:rsidRDefault="007C6FB7"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rPr>
      </w:pPr>
      <w:r>
        <w:rPr>
          <w:rFonts w:eastAsia="Times New Roman" w:cs="Segoe UI"/>
          <w:bCs/>
        </w:rPr>
        <w:t xml:space="preserve">However, the </w:t>
      </w:r>
      <w:r w:rsidR="00F56E2A">
        <w:rPr>
          <w:rFonts w:eastAsia="Times New Roman" w:cs="Segoe UI"/>
          <w:bCs/>
        </w:rPr>
        <w:t xml:space="preserve">Trustee </w:t>
      </w:r>
      <w:r>
        <w:rPr>
          <w:rFonts w:eastAsia="Times New Roman" w:cs="Segoe UI"/>
          <w:bCs/>
        </w:rPr>
        <w:t>remains concerned regarding the poor service quality (incorrect information</w:t>
      </w:r>
      <w:r w:rsidR="00D62B44">
        <w:rPr>
          <w:rFonts w:eastAsia="Times New Roman" w:cs="Segoe UI"/>
          <w:bCs/>
        </w:rPr>
        <w:t xml:space="preserve"> provided to members</w:t>
      </w:r>
      <w:r>
        <w:rPr>
          <w:rFonts w:eastAsia="Times New Roman" w:cs="Segoe UI"/>
          <w:bCs/>
        </w:rPr>
        <w:t xml:space="preserve">, significant call waiting times) and </w:t>
      </w:r>
      <w:r w:rsidR="00D62B44">
        <w:rPr>
          <w:rFonts w:eastAsia="Times New Roman" w:cs="Segoe UI"/>
          <w:bCs/>
        </w:rPr>
        <w:t xml:space="preserve">overall </w:t>
      </w:r>
      <w:r>
        <w:rPr>
          <w:rFonts w:eastAsia="Times New Roman" w:cs="Segoe UI"/>
          <w:bCs/>
        </w:rPr>
        <w:t xml:space="preserve">delays </w:t>
      </w:r>
      <w:r w:rsidR="00D62B44">
        <w:rPr>
          <w:rFonts w:eastAsia="Times New Roman" w:cs="Segoe UI"/>
          <w:bCs/>
        </w:rPr>
        <w:t xml:space="preserve">experienced by members who wish to access their </w:t>
      </w:r>
      <w:r w:rsidR="00CD21EC">
        <w:rPr>
          <w:rFonts w:eastAsia="Times New Roman" w:cs="Segoe UI"/>
          <w:bCs/>
        </w:rPr>
        <w:t>benefits at retirement</w:t>
      </w:r>
      <w:r w:rsidR="00D62B44">
        <w:rPr>
          <w:rFonts w:eastAsia="Times New Roman" w:cs="Segoe UI"/>
          <w:bCs/>
        </w:rPr>
        <w:t xml:space="preserve">.  </w:t>
      </w:r>
      <w:r w:rsidR="003C4F58">
        <w:rPr>
          <w:rFonts w:eastAsia="Times New Roman" w:cs="Segoe UI"/>
          <w:bCs/>
        </w:rPr>
        <w:t>The Trustee is</w:t>
      </w:r>
      <w:r>
        <w:rPr>
          <w:rFonts w:eastAsia="Times New Roman" w:cs="Segoe UI"/>
          <w:bCs/>
        </w:rPr>
        <w:t xml:space="preserve"> aware of </w:t>
      </w:r>
      <w:r w:rsidR="003C4F58">
        <w:rPr>
          <w:rFonts w:eastAsia="Times New Roman" w:cs="Segoe UI"/>
          <w:bCs/>
        </w:rPr>
        <w:t xml:space="preserve">some </w:t>
      </w:r>
      <w:r>
        <w:rPr>
          <w:rFonts w:eastAsia="Times New Roman" w:cs="Segoe UI"/>
          <w:bCs/>
        </w:rPr>
        <w:t>member</w:t>
      </w:r>
      <w:r w:rsidR="003C4F58">
        <w:rPr>
          <w:rFonts w:eastAsia="Times New Roman" w:cs="Segoe UI"/>
          <w:bCs/>
        </w:rPr>
        <w:t xml:space="preserve">s’ </w:t>
      </w:r>
      <w:r w:rsidR="00D62B44">
        <w:rPr>
          <w:rFonts w:eastAsia="Times New Roman" w:cs="Segoe UI"/>
          <w:bCs/>
        </w:rPr>
        <w:t>frustrations</w:t>
      </w:r>
      <w:r>
        <w:rPr>
          <w:rFonts w:eastAsia="Times New Roman" w:cs="Segoe UI"/>
          <w:bCs/>
        </w:rPr>
        <w:t xml:space="preserve"> at the </w:t>
      </w:r>
      <w:r w:rsidR="00D62B44">
        <w:rPr>
          <w:rFonts w:eastAsia="Times New Roman" w:cs="Segoe UI"/>
          <w:bCs/>
        </w:rPr>
        <w:t xml:space="preserve">experience </w:t>
      </w:r>
      <w:r>
        <w:rPr>
          <w:rFonts w:eastAsia="Times New Roman" w:cs="Segoe UI"/>
          <w:bCs/>
        </w:rPr>
        <w:t xml:space="preserve">and have issued </w:t>
      </w:r>
      <w:r w:rsidR="00CD21EC">
        <w:rPr>
          <w:rFonts w:eastAsia="Times New Roman" w:cs="Segoe UI"/>
          <w:bCs/>
        </w:rPr>
        <w:t>a formal</w:t>
      </w:r>
      <w:r>
        <w:rPr>
          <w:rFonts w:eastAsia="Times New Roman" w:cs="Segoe UI"/>
          <w:bCs/>
        </w:rPr>
        <w:t xml:space="preserve"> complaint to Aegon on behalf of one member.    </w:t>
      </w:r>
    </w:p>
    <w:p w14:paraId="17D0A46B" w14:textId="4E5CF66C" w:rsidR="00E42AF9" w:rsidRDefault="00D62B44"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rPr>
      </w:pPr>
      <w:r>
        <w:rPr>
          <w:rFonts w:eastAsia="Times New Roman" w:cs="Segoe UI"/>
          <w:bCs/>
        </w:rPr>
        <w:t>Aegon acknowledge</w:t>
      </w:r>
      <w:r w:rsidR="003C4F58">
        <w:rPr>
          <w:rFonts w:eastAsia="Times New Roman" w:cs="Segoe UI"/>
          <w:bCs/>
        </w:rPr>
        <w:t>s</w:t>
      </w:r>
      <w:r>
        <w:rPr>
          <w:rFonts w:eastAsia="Times New Roman" w:cs="Segoe UI"/>
          <w:bCs/>
        </w:rPr>
        <w:t xml:space="preserve"> the fall in service within </w:t>
      </w:r>
      <w:r w:rsidR="003C4F58">
        <w:rPr>
          <w:rFonts w:eastAsia="Times New Roman" w:cs="Segoe UI"/>
          <w:bCs/>
        </w:rPr>
        <w:t>its</w:t>
      </w:r>
      <w:r>
        <w:rPr>
          <w:rFonts w:eastAsia="Times New Roman" w:cs="Segoe UI"/>
          <w:bCs/>
        </w:rPr>
        <w:t xml:space="preserve"> retirement team was due to several factors; illness within the administration team impacting payments to members and lack of understanding from individual call handlers regarding Aegon’s policy on call waiting and telephone etiquette (</w:t>
      </w:r>
      <w:proofErr w:type="gramStart"/>
      <w:r>
        <w:rPr>
          <w:rFonts w:eastAsia="Times New Roman" w:cs="Segoe UI"/>
          <w:bCs/>
        </w:rPr>
        <w:t>i.e.</w:t>
      </w:r>
      <w:proofErr w:type="gramEnd"/>
      <w:r>
        <w:rPr>
          <w:rFonts w:eastAsia="Times New Roman" w:cs="Segoe UI"/>
          <w:bCs/>
        </w:rPr>
        <w:t xml:space="preserve"> passing on queries that cannot be resolved on the original call).  </w:t>
      </w:r>
    </w:p>
    <w:p w14:paraId="32B4D6AD" w14:textId="52F44729" w:rsidR="00E42AF9" w:rsidRDefault="00D62B44"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rPr>
      </w:pPr>
      <w:r>
        <w:rPr>
          <w:rFonts w:eastAsia="Times New Roman" w:cs="Segoe UI"/>
          <w:bCs/>
        </w:rPr>
        <w:t>Aegon ha</w:t>
      </w:r>
      <w:r w:rsidR="003C4F58">
        <w:rPr>
          <w:rFonts w:eastAsia="Times New Roman" w:cs="Segoe UI"/>
          <w:bCs/>
        </w:rPr>
        <w:t>s</w:t>
      </w:r>
      <w:r>
        <w:rPr>
          <w:rFonts w:eastAsia="Times New Roman" w:cs="Segoe UI"/>
          <w:bCs/>
        </w:rPr>
        <w:t xml:space="preserve"> implemented a robust recovery plan which includes increasing the retirement team from 7 to 15 </w:t>
      </w:r>
      <w:r w:rsidR="00E42AF9">
        <w:rPr>
          <w:rFonts w:eastAsia="Times New Roman" w:cs="Segoe UI"/>
          <w:bCs/>
        </w:rPr>
        <w:t>individuals</w:t>
      </w:r>
      <w:r>
        <w:rPr>
          <w:rFonts w:eastAsia="Times New Roman" w:cs="Segoe UI"/>
          <w:bCs/>
        </w:rPr>
        <w:t xml:space="preserve"> and increasing their </w:t>
      </w:r>
      <w:r w:rsidR="00E42AF9">
        <w:rPr>
          <w:rFonts w:eastAsia="Times New Roman" w:cs="Segoe UI"/>
          <w:bCs/>
        </w:rPr>
        <w:t>overall administration</w:t>
      </w:r>
      <w:r>
        <w:rPr>
          <w:rFonts w:eastAsia="Times New Roman" w:cs="Segoe UI"/>
          <w:bCs/>
        </w:rPr>
        <w:t xml:space="preserve"> team in future anticipation of increased work demand. </w:t>
      </w:r>
      <w:r w:rsidR="00E42AF9">
        <w:rPr>
          <w:rFonts w:eastAsia="Times New Roman" w:cs="Segoe UI"/>
          <w:bCs/>
        </w:rPr>
        <w:t>Whilst the Retirement team is a ‘specialist’ area, there are plans to cross skill team members from other areas so that when there is an uptick in demand, there are accredited team members able to step into the Retirement team.   Quality training has been delivered to individual member</w:t>
      </w:r>
      <w:r w:rsidR="003C4F58">
        <w:rPr>
          <w:rFonts w:eastAsia="Times New Roman" w:cs="Segoe UI"/>
          <w:bCs/>
        </w:rPr>
        <w:t>s</w:t>
      </w:r>
      <w:r w:rsidR="00E42AF9">
        <w:rPr>
          <w:rFonts w:eastAsia="Times New Roman" w:cs="Segoe UI"/>
          <w:bCs/>
        </w:rPr>
        <w:t xml:space="preserve"> of the Retirement team on call handling etiquette. </w:t>
      </w:r>
    </w:p>
    <w:p w14:paraId="790AFFCB" w14:textId="2F2CB69F" w:rsidR="007F3AA0" w:rsidRPr="00447141" w:rsidRDefault="00E42AF9"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rPr>
      </w:pPr>
      <w:r>
        <w:rPr>
          <w:rFonts w:eastAsia="Times New Roman" w:cs="Segoe UI"/>
          <w:bCs/>
        </w:rPr>
        <w:t>The Trustees will</w:t>
      </w:r>
      <w:r w:rsidR="00D62B44">
        <w:rPr>
          <w:rFonts w:eastAsia="Times New Roman" w:cs="Segoe UI"/>
          <w:bCs/>
        </w:rPr>
        <w:t xml:space="preserve"> </w:t>
      </w:r>
      <w:proofErr w:type="gramStart"/>
      <w:r w:rsidR="00F56E2A">
        <w:rPr>
          <w:rFonts w:eastAsia="Times New Roman" w:cs="Segoe UI"/>
          <w:bCs/>
        </w:rPr>
        <w:t>continues</w:t>
      </w:r>
      <w:proofErr w:type="gramEnd"/>
      <w:r w:rsidR="00F56E2A">
        <w:rPr>
          <w:rFonts w:eastAsia="Times New Roman" w:cs="Segoe UI"/>
          <w:bCs/>
        </w:rPr>
        <w:t xml:space="preserve"> to monitor Aegon against the implementation of </w:t>
      </w:r>
      <w:r w:rsidR="003C4F58">
        <w:rPr>
          <w:rFonts w:eastAsia="Times New Roman" w:cs="Segoe UI"/>
          <w:bCs/>
        </w:rPr>
        <w:t xml:space="preserve">its </w:t>
      </w:r>
      <w:r w:rsidR="004447F3">
        <w:rPr>
          <w:rFonts w:eastAsia="Times New Roman" w:cs="Segoe UI"/>
          <w:bCs/>
        </w:rPr>
        <w:t xml:space="preserve">recovery </w:t>
      </w:r>
      <w:r w:rsidR="00F56E2A">
        <w:rPr>
          <w:rFonts w:eastAsia="Times New Roman" w:cs="Segoe UI"/>
          <w:bCs/>
        </w:rPr>
        <w:t>plan to ensure service levels</w:t>
      </w:r>
      <w:r>
        <w:rPr>
          <w:rFonts w:eastAsia="Times New Roman" w:cs="Segoe UI"/>
          <w:bCs/>
        </w:rPr>
        <w:t xml:space="preserve"> for retirements</w:t>
      </w:r>
      <w:r w:rsidR="00F56E2A">
        <w:rPr>
          <w:rFonts w:eastAsia="Times New Roman" w:cs="Segoe UI"/>
          <w:bCs/>
        </w:rPr>
        <w:t xml:space="preserve"> revert to their expected levels. </w:t>
      </w:r>
    </w:p>
    <w:p w14:paraId="279BE486" w14:textId="7072DDA8" w:rsidR="00A90919" w:rsidRPr="00447141" w:rsidRDefault="007F3AA0"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rPr>
      </w:pPr>
      <w:r w:rsidRPr="00447141">
        <w:rPr>
          <w:rFonts w:eastAsia="Times New Roman" w:cs="Segoe UI"/>
          <w:bCs/>
        </w:rPr>
        <w:t xml:space="preserve">Aegon is aware of the statutory </w:t>
      </w:r>
      <w:r w:rsidR="004B50A8" w:rsidRPr="00447141">
        <w:rPr>
          <w:rFonts w:eastAsia="Times New Roman" w:cs="Segoe UI"/>
          <w:bCs/>
        </w:rPr>
        <w:t>deadlines and</w:t>
      </w:r>
      <w:r w:rsidRPr="00447141">
        <w:rPr>
          <w:rFonts w:eastAsia="Times New Roman" w:cs="Segoe UI"/>
          <w:bCs/>
        </w:rPr>
        <w:t xml:space="preserve"> has confirmed that all core financial transactions </w:t>
      </w:r>
      <w:r w:rsidR="009A24EA" w:rsidRPr="00447141">
        <w:rPr>
          <w:rFonts w:eastAsia="Times New Roman" w:cs="Segoe UI"/>
          <w:bCs/>
        </w:rPr>
        <w:t>over</w:t>
      </w:r>
      <w:r w:rsidRPr="00447141">
        <w:rPr>
          <w:rFonts w:eastAsia="Times New Roman" w:cs="Segoe UI"/>
          <w:bCs/>
        </w:rPr>
        <w:t xml:space="preserve"> the year for the Scheme were invested on time and within the statutory deadlines. The Trustee will continue to monitor processes. </w:t>
      </w:r>
    </w:p>
    <w:p w14:paraId="7EE7CA95" w14:textId="5ECF820E" w:rsidR="00EB68D9" w:rsidRPr="00447141" w:rsidRDefault="00A90919"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color w:val="000000" w:themeColor="text1"/>
        </w:rPr>
      </w:pPr>
      <w:r w:rsidRPr="00447141">
        <w:rPr>
          <w:rFonts w:eastAsia="Times New Roman" w:cs="Segoe UI"/>
          <w:bCs/>
        </w:rPr>
        <w:t xml:space="preserve">Neither the administrator’s quarterly reports nor the audit of the annual report and accounts identified </w:t>
      </w:r>
      <w:r w:rsidR="00FB00A6" w:rsidRPr="00447141">
        <w:rPr>
          <w:rFonts w:eastAsia="Times New Roman" w:cs="Segoe UI"/>
          <w:bCs/>
        </w:rPr>
        <w:t>material</w:t>
      </w:r>
      <w:r w:rsidRPr="00447141">
        <w:rPr>
          <w:rFonts w:eastAsia="Times New Roman" w:cs="Segoe UI"/>
          <w:bCs/>
        </w:rPr>
        <w:t xml:space="preserve"> issues with the accuracy of core financial transactions.</w:t>
      </w:r>
    </w:p>
    <w:p w14:paraId="209D8D1F" w14:textId="579B3F65" w:rsidR="003C7E03" w:rsidRPr="00447141" w:rsidRDefault="003C7E03" w:rsidP="003C7E03">
      <w:pPr>
        <w:pStyle w:val="Heading2"/>
      </w:pPr>
      <w:r w:rsidRPr="00447141">
        <w:t>Assessment</w:t>
      </w:r>
    </w:p>
    <w:p w14:paraId="1C44039F" w14:textId="60281C3B" w:rsidR="003F42DD" w:rsidRPr="003C0F1D" w:rsidRDefault="003C7E03" w:rsidP="006B4574">
      <w:pPr>
        <w:pStyle w:val="ListParagraph"/>
        <w:numPr>
          <w:ilvl w:val="1"/>
          <w:numId w:val="5"/>
        </w:numPr>
        <w:autoSpaceDE w:val="0"/>
        <w:autoSpaceDN w:val="0"/>
        <w:adjustRightInd w:val="0"/>
        <w:spacing w:before="120" w:after="120" w:line="264" w:lineRule="auto"/>
        <w:ind w:left="567" w:hanging="567"/>
        <w:contextualSpacing w:val="0"/>
        <w:jc w:val="both"/>
        <w:rPr>
          <w:rFonts w:eastAsia="Times New Roman" w:cs="Segoe UI"/>
          <w:bCs/>
          <w:color w:val="000000" w:themeColor="text1"/>
        </w:rPr>
      </w:pPr>
      <w:r w:rsidRPr="003C0F1D">
        <w:rPr>
          <w:rFonts w:eastAsia="Times New Roman" w:cs="Segoe UI"/>
          <w:bCs/>
          <w:color w:val="000000" w:themeColor="text1"/>
        </w:rPr>
        <w:t xml:space="preserve">In view of the controls and monitoring arrangements, and </w:t>
      </w:r>
      <w:r w:rsidR="00B55116" w:rsidRPr="00FE2F16">
        <w:rPr>
          <w:rFonts w:eastAsia="Times New Roman" w:cs="Segoe UI"/>
          <w:bCs/>
          <w:color w:val="000000" w:themeColor="text1"/>
        </w:rPr>
        <w:t xml:space="preserve">(other </w:t>
      </w:r>
      <w:r w:rsidR="003C0F1D" w:rsidRPr="003C0F1D">
        <w:rPr>
          <w:rFonts w:eastAsia="Times New Roman" w:cs="Segoe UI"/>
          <w:bCs/>
          <w:color w:val="000000" w:themeColor="text1"/>
        </w:rPr>
        <w:t>than</w:t>
      </w:r>
      <w:r w:rsidR="00B55116" w:rsidRPr="00FE2F16">
        <w:rPr>
          <w:rFonts w:eastAsia="Times New Roman" w:cs="Segoe UI"/>
          <w:bCs/>
          <w:color w:val="000000" w:themeColor="text1"/>
        </w:rPr>
        <w:t xml:space="preserve"> the issues </w:t>
      </w:r>
      <w:proofErr w:type="gramStart"/>
      <w:r w:rsidR="00CD21EC" w:rsidRPr="00FE2F16">
        <w:rPr>
          <w:rFonts w:eastAsia="Times New Roman" w:cs="Segoe UI"/>
          <w:bCs/>
          <w:color w:val="000000" w:themeColor="text1"/>
        </w:rPr>
        <w:t>in regards to</w:t>
      </w:r>
      <w:proofErr w:type="gramEnd"/>
      <w:r w:rsidR="00CD21EC" w:rsidRPr="00FE2F16">
        <w:rPr>
          <w:rFonts w:eastAsia="Times New Roman" w:cs="Segoe UI"/>
          <w:bCs/>
          <w:color w:val="000000" w:themeColor="text1"/>
        </w:rPr>
        <w:t xml:space="preserve"> </w:t>
      </w:r>
      <w:r w:rsidR="00B55116" w:rsidRPr="00FE2F16">
        <w:rPr>
          <w:rFonts w:eastAsia="Times New Roman" w:cs="Segoe UI"/>
          <w:bCs/>
          <w:color w:val="000000" w:themeColor="text1"/>
        </w:rPr>
        <w:t>process</w:t>
      </w:r>
      <w:r w:rsidR="00CD21EC" w:rsidRPr="00FE2F16">
        <w:rPr>
          <w:rFonts w:eastAsia="Times New Roman" w:cs="Segoe UI"/>
          <w:bCs/>
          <w:color w:val="000000" w:themeColor="text1"/>
        </w:rPr>
        <w:t xml:space="preserve">ing benefits which has affected a few members) </w:t>
      </w:r>
      <w:r w:rsidRPr="003C0F1D">
        <w:rPr>
          <w:rFonts w:eastAsia="Times New Roman" w:cs="Segoe UI"/>
          <w:bCs/>
          <w:color w:val="000000" w:themeColor="text1"/>
        </w:rPr>
        <w:t>the l</w:t>
      </w:r>
      <w:r w:rsidR="00FB00A6" w:rsidRPr="003C0F1D">
        <w:rPr>
          <w:rFonts w:eastAsia="Times New Roman" w:cs="Segoe UI"/>
          <w:bCs/>
          <w:color w:val="000000" w:themeColor="text1"/>
        </w:rPr>
        <w:t xml:space="preserve">ack of material </w:t>
      </w:r>
      <w:r w:rsidRPr="003C0F1D">
        <w:rPr>
          <w:rFonts w:eastAsia="Times New Roman" w:cs="Segoe UI"/>
          <w:bCs/>
          <w:color w:val="000000" w:themeColor="text1"/>
        </w:rPr>
        <w:t>issues experienced during the scheme year, t</w:t>
      </w:r>
      <w:r w:rsidR="00E2111B" w:rsidRPr="003C0F1D">
        <w:rPr>
          <w:rFonts w:cs="Segoe UI"/>
        </w:rPr>
        <w:t>he</w:t>
      </w:r>
      <w:r w:rsidR="007D58A1" w:rsidRPr="003C0F1D">
        <w:rPr>
          <w:rFonts w:cs="Segoe UI"/>
        </w:rPr>
        <w:t xml:space="preserve"> Trustee believe</w:t>
      </w:r>
      <w:r w:rsidR="00D05A5B" w:rsidRPr="003C0F1D">
        <w:rPr>
          <w:rFonts w:cs="Segoe UI"/>
        </w:rPr>
        <w:t>s</w:t>
      </w:r>
      <w:r w:rsidR="007D58A1" w:rsidRPr="003C0F1D">
        <w:rPr>
          <w:rFonts w:cs="Segoe UI"/>
        </w:rPr>
        <w:t xml:space="preserve"> that core financial transactions </w:t>
      </w:r>
      <w:r w:rsidRPr="003C0F1D">
        <w:rPr>
          <w:rFonts w:cs="Segoe UI"/>
        </w:rPr>
        <w:t xml:space="preserve">have been </w:t>
      </w:r>
      <w:r w:rsidR="007D58A1" w:rsidRPr="003C0F1D">
        <w:rPr>
          <w:rFonts w:cs="Segoe UI"/>
        </w:rPr>
        <w:t>processed promptly and accurately</w:t>
      </w:r>
      <w:r w:rsidR="00E2111B" w:rsidRPr="003C0F1D">
        <w:rPr>
          <w:rFonts w:cs="Segoe UI"/>
        </w:rPr>
        <w:t>.</w:t>
      </w:r>
    </w:p>
    <w:p w14:paraId="5078DE07" w14:textId="14D236F4" w:rsidR="00A56CE0" w:rsidRPr="005D46F7" w:rsidRDefault="00FB00A6" w:rsidP="006B4574">
      <w:pPr>
        <w:pStyle w:val="Heading1"/>
        <w:numPr>
          <w:ilvl w:val="0"/>
          <w:numId w:val="5"/>
        </w:numPr>
      </w:pPr>
      <w:r>
        <w:t>Member-borne c</w:t>
      </w:r>
      <w:r w:rsidR="00A56CE0" w:rsidRPr="005D46F7">
        <w:t>harges and transaction costs</w:t>
      </w:r>
    </w:p>
    <w:p w14:paraId="403332F4" w14:textId="59918F6F" w:rsidR="00754DDB" w:rsidRDefault="0087231D" w:rsidP="006B4574">
      <w:pPr>
        <w:pStyle w:val="ListParagraph"/>
        <w:numPr>
          <w:ilvl w:val="1"/>
          <w:numId w:val="5"/>
        </w:numPr>
        <w:spacing w:before="120" w:after="120" w:line="264" w:lineRule="auto"/>
        <w:ind w:left="567" w:hanging="567"/>
        <w:contextualSpacing w:val="0"/>
        <w:jc w:val="both"/>
        <w:rPr>
          <w:lang w:val="en-GB" w:eastAsia="en-GB" w:bidi="ar-SA"/>
        </w:rPr>
      </w:pPr>
      <w:r>
        <w:rPr>
          <w:lang w:val="en-GB" w:eastAsia="en-GB" w:bidi="ar-SA"/>
        </w:rPr>
        <w:t>M</w:t>
      </w:r>
      <w:r w:rsidR="00E82389">
        <w:rPr>
          <w:lang w:val="en-GB" w:eastAsia="en-GB" w:bidi="ar-SA"/>
        </w:rPr>
        <w:t xml:space="preserve">embers bear </w:t>
      </w:r>
      <w:r>
        <w:rPr>
          <w:lang w:val="en-GB" w:eastAsia="en-GB" w:bidi="ar-SA"/>
        </w:rPr>
        <w:t xml:space="preserve">charges </w:t>
      </w:r>
      <w:r w:rsidR="008515DA">
        <w:rPr>
          <w:lang w:val="en-GB" w:eastAsia="en-GB" w:bidi="ar-SA"/>
        </w:rPr>
        <w:t xml:space="preserve">and transaction costs, which will differ depending on the investment options </w:t>
      </w:r>
      <w:r>
        <w:rPr>
          <w:lang w:val="en-GB" w:eastAsia="en-GB" w:bidi="ar-SA"/>
        </w:rPr>
        <w:t xml:space="preserve">in which </w:t>
      </w:r>
      <w:r w:rsidR="00280ACF">
        <w:rPr>
          <w:lang w:val="en-GB" w:eastAsia="en-GB" w:bidi="ar-SA"/>
        </w:rPr>
        <w:t xml:space="preserve">their </w:t>
      </w:r>
      <w:r w:rsidR="00754DDB">
        <w:rPr>
          <w:lang w:val="en-GB" w:eastAsia="en-GB" w:bidi="ar-SA"/>
        </w:rPr>
        <w:t xml:space="preserve">pension savings </w:t>
      </w:r>
      <w:r>
        <w:rPr>
          <w:lang w:val="en-GB" w:eastAsia="en-GB" w:bidi="ar-SA"/>
        </w:rPr>
        <w:t>are invested</w:t>
      </w:r>
      <w:r w:rsidR="005B555D">
        <w:rPr>
          <w:lang w:val="en-GB" w:eastAsia="en-GB" w:bidi="ar-SA"/>
        </w:rPr>
        <w:t>:</w:t>
      </w:r>
      <w:r w:rsidR="005B555D" w:rsidRPr="008550BD">
        <w:rPr>
          <w:lang w:val="en-GB" w:eastAsia="en-GB" w:bidi="ar-SA"/>
        </w:rPr>
        <w:t xml:space="preserve"> </w:t>
      </w:r>
      <w:r w:rsidR="005B555D">
        <w:rPr>
          <w:lang w:val="en-GB" w:eastAsia="en-GB" w:bidi="ar-SA"/>
        </w:rPr>
        <w:t xml:space="preserve"> </w:t>
      </w:r>
    </w:p>
    <w:p w14:paraId="07368FB0" w14:textId="3BB387EB" w:rsidR="00754DDB" w:rsidRPr="00B217D5" w:rsidRDefault="005B555D"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t>C</w:t>
      </w:r>
      <w:r w:rsidR="00D97739" w:rsidRPr="00B217D5">
        <w:rPr>
          <w:rFonts w:ascii="Segoe UI" w:hAnsi="Segoe UI" w:cs="Segoe UI"/>
          <w:sz w:val="20"/>
          <w:szCs w:val="20"/>
        </w:rPr>
        <w:t>harges</w:t>
      </w:r>
      <w:r w:rsidR="00754DDB" w:rsidRPr="00B217D5">
        <w:rPr>
          <w:rFonts w:ascii="Segoe UI" w:hAnsi="Segoe UI" w:cs="Segoe UI"/>
          <w:sz w:val="20"/>
          <w:szCs w:val="20"/>
        </w:rPr>
        <w:t xml:space="preserve">: these are expressed as a percentage of the value of </w:t>
      </w:r>
      <w:r w:rsidRPr="00B217D5">
        <w:rPr>
          <w:rFonts w:ascii="Segoe UI" w:hAnsi="Segoe UI" w:cs="Segoe UI"/>
          <w:sz w:val="20"/>
          <w:szCs w:val="20"/>
        </w:rPr>
        <w:t xml:space="preserve">a </w:t>
      </w:r>
      <w:r w:rsidR="00754DDB" w:rsidRPr="00B217D5">
        <w:rPr>
          <w:rFonts w:ascii="Segoe UI" w:hAnsi="Segoe UI" w:cs="Segoe UI"/>
          <w:sz w:val="20"/>
          <w:szCs w:val="20"/>
        </w:rPr>
        <w:t>member’s holdings within an investment fund</w:t>
      </w:r>
      <w:r w:rsidRPr="00B217D5">
        <w:rPr>
          <w:rFonts w:ascii="Segoe UI" w:hAnsi="Segoe UI" w:cs="Segoe UI"/>
          <w:sz w:val="20"/>
          <w:szCs w:val="20"/>
        </w:rPr>
        <w:t xml:space="preserve">, and can be made up of a combination of charges, </w:t>
      </w:r>
      <w:proofErr w:type="gramStart"/>
      <w:r w:rsidRPr="00B217D5">
        <w:rPr>
          <w:rFonts w:ascii="Segoe UI" w:hAnsi="Segoe UI" w:cs="Segoe UI"/>
          <w:sz w:val="20"/>
          <w:szCs w:val="20"/>
        </w:rPr>
        <w:t>e.g.</w:t>
      </w:r>
      <w:proofErr w:type="gramEnd"/>
      <w:r w:rsidRPr="00B217D5">
        <w:rPr>
          <w:rFonts w:ascii="Segoe UI" w:hAnsi="Segoe UI" w:cs="Segoe UI"/>
          <w:sz w:val="20"/>
          <w:szCs w:val="20"/>
        </w:rPr>
        <w:t xml:space="preserve"> annual management charge and additional expenses</w:t>
      </w:r>
      <w:r w:rsidR="00754DDB" w:rsidRPr="00B217D5">
        <w:rPr>
          <w:rFonts w:ascii="Segoe UI" w:hAnsi="Segoe UI" w:cs="Segoe UI"/>
          <w:sz w:val="20"/>
          <w:szCs w:val="20"/>
        </w:rPr>
        <w:t xml:space="preserve">.  </w:t>
      </w:r>
      <w:r w:rsidR="00D97739" w:rsidRPr="00B217D5">
        <w:rPr>
          <w:rFonts w:ascii="Segoe UI" w:hAnsi="Segoe UI" w:cs="Segoe UI"/>
          <w:sz w:val="20"/>
          <w:szCs w:val="20"/>
        </w:rPr>
        <w:t xml:space="preserve">We refer to </w:t>
      </w:r>
      <w:r w:rsidR="004F72F9" w:rsidRPr="00B217D5">
        <w:rPr>
          <w:rFonts w:ascii="Segoe UI" w:hAnsi="Segoe UI" w:cs="Segoe UI"/>
          <w:sz w:val="20"/>
          <w:szCs w:val="20"/>
        </w:rPr>
        <w:t>t</w:t>
      </w:r>
      <w:r w:rsidR="00754DDB" w:rsidRPr="00B217D5">
        <w:rPr>
          <w:rFonts w:ascii="Segoe UI" w:hAnsi="Segoe UI" w:cs="Segoe UI"/>
          <w:sz w:val="20"/>
          <w:szCs w:val="20"/>
        </w:rPr>
        <w:t>he</w:t>
      </w:r>
      <w:r w:rsidRPr="00B217D5">
        <w:rPr>
          <w:rFonts w:ascii="Segoe UI" w:hAnsi="Segoe UI" w:cs="Segoe UI"/>
          <w:sz w:val="20"/>
          <w:szCs w:val="20"/>
        </w:rPr>
        <w:t xml:space="preserve"> total annual charge </w:t>
      </w:r>
      <w:r w:rsidR="004F72F9" w:rsidRPr="00B217D5">
        <w:rPr>
          <w:rFonts w:ascii="Segoe UI" w:hAnsi="Segoe UI" w:cs="Segoe UI"/>
          <w:sz w:val="20"/>
          <w:szCs w:val="20"/>
        </w:rPr>
        <w:t>as the Total Expense Ratio (TER).</w:t>
      </w:r>
    </w:p>
    <w:p w14:paraId="53330CA2" w14:textId="5F072289" w:rsidR="00754DDB" w:rsidRPr="00B217D5" w:rsidRDefault="005B555D" w:rsidP="00B217D5">
      <w:pPr>
        <w:pStyle w:val="Level2"/>
        <w:numPr>
          <w:ilvl w:val="2"/>
          <w:numId w:val="5"/>
        </w:numPr>
        <w:spacing w:after="120" w:line="264" w:lineRule="auto"/>
        <w:ind w:left="1134" w:hanging="567"/>
        <w:rPr>
          <w:rFonts w:ascii="Segoe UI" w:hAnsi="Segoe UI" w:cs="Segoe UI"/>
          <w:sz w:val="20"/>
          <w:szCs w:val="20"/>
        </w:rPr>
      </w:pPr>
      <w:r w:rsidRPr="00B217D5">
        <w:rPr>
          <w:rFonts w:ascii="Segoe UI" w:hAnsi="Segoe UI" w:cs="Segoe UI"/>
          <w:sz w:val="20"/>
          <w:szCs w:val="20"/>
        </w:rPr>
        <w:lastRenderedPageBreak/>
        <w:t>Transaction costs</w:t>
      </w:r>
      <w:r w:rsidR="00754DDB" w:rsidRPr="00B217D5">
        <w:rPr>
          <w:rFonts w:ascii="Segoe UI" w:hAnsi="Segoe UI" w:cs="Segoe UI"/>
          <w:sz w:val="20"/>
          <w:szCs w:val="20"/>
        </w:rPr>
        <w:t xml:space="preserve">: these relate to the </w:t>
      </w:r>
      <w:r w:rsidR="00522974" w:rsidRPr="00B217D5">
        <w:rPr>
          <w:rFonts w:ascii="Segoe UI" w:hAnsi="Segoe UI" w:cs="Segoe UI"/>
          <w:sz w:val="20"/>
          <w:szCs w:val="20"/>
        </w:rPr>
        <w:t xml:space="preserve">variable </w:t>
      </w:r>
      <w:r w:rsidR="00754DDB" w:rsidRPr="00B217D5">
        <w:rPr>
          <w:rFonts w:ascii="Segoe UI" w:hAnsi="Segoe UI" w:cs="Segoe UI"/>
          <w:sz w:val="20"/>
          <w:szCs w:val="20"/>
        </w:rPr>
        <w:t>costs incurred within an investment fund arising from the trading activities of the fund</w:t>
      </w:r>
      <w:r w:rsidR="00D97739" w:rsidRPr="00B217D5">
        <w:rPr>
          <w:rFonts w:ascii="Segoe UI" w:hAnsi="Segoe UI" w:cs="Segoe UI"/>
          <w:sz w:val="20"/>
          <w:szCs w:val="20"/>
        </w:rPr>
        <w:t>,</w:t>
      </w:r>
      <w:r w:rsidR="00754DDB" w:rsidRPr="00B217D5">
        <w:rPr>
          <w:rFonts w:ascii="Segoe UI" w:hAnsi="Segoe UI" w:cs="Segoe UI"/>
          <w:sz w:val="20"/>
          <w:szCs w:val="20"/>
        </w:rPr>
        <w:t xml:space="preserve"> </w:t>
      </w:r>
      <w:proofErr w:type="gramStart"/>
      <w:r w:rsidR="00754DDB" w:rsidRPr="00B217D5">
        <w:rPr>
          <w:rFonts w:ascii="Segoe UI" w:hAnsi="Segoe UI" w:cs="Segoe UI"/>
          <w:sz w:val="20"/>
          <w:szCs w:val="20"/>
        </w:rPr>
        <w:t>e.g.</w:t>
      </w:r>
      <w:proofErr w:type="gramEnd"/>
      <w:r w:rsidR="00754DDB" w:rsidRPr="00B217D5">
        <w:rPr>
          <w:rFonts w:ascii="Segoe UI" w:hAnsi="Segoe UI" w:cs="Segoe UI"/>
          <w:sz w:val="20"/>
          <w:szCs w:val="20"/>
        </w:rPr>
        <w:t xml:space="preserve"> incurred in the buying and selling of securities, which are not accounted for in the </w:t>
      </w:r>
      <w:r w:rsidR="002238C6" w:rsidRPr="00B217D5">
        <w:rPr>
          <w:rFonts w:ascii="Segoe UI" w:hAnsi="Segoe UI" w:cs="Segoe UI"/>
          <w:sz w:val="20"/>
          <w:szCs w:val="20"/>
        </w:rPr>
        <w:t xml:space="preserve">TER </w:t>
      </w:r>
      <w:r w:rsidR="00754DDB" w:rsidRPr="00B217D5">
        <w:rPr>
          <w:rFonts w:ascii="Segoe UI" w:hAnsi="Segoe UI" w:cs="Segoe UI"/>
          <w:sz w:val="20"/>
          <w:szCs w:val="20"/>
        </w:rPr>
        <w:t xml:space="preserve">charge. </w:t>
      </w:r>
      <w:r w:rsidR="00D97739" w:rsidRPr="00B217D5">
        <w:rPr>
          <w:rFonts w:ascii="Segoe UI" w:hAnsi="Segoe UI" w:cs="Segoe UI"/>
          <w:sz w:val="20"/>
          <w:szCs w:val="20"/>
        </w:rPr>
        <w:t xml:space="preserve"> </w:t>
      </w:r>
    </w:p>
    <w:p w14:paraId="08A88F12" w14:textId="40DEA937" w:rsidR="007B415B" w:rsidRPr="00847A5D" w:rsidRDefault="007B415B" w:rsidP="00847A5D">
      <w:pPr>
        <w:pStyle w:val="Heading2"/>
      </w:pPr>
      <w:r w:rsidRPr="00847A5D">
        <w:t xml:space="preserve">Charges in relation to the </w:t>
      </w:r>
      <w:r w:rsidR="002E5F5D" w:rsidRPr="00847A5D">
        <w:t>DC Section</w:t>
      </w:r>
    </w:p>
    <w:p w14:paraId="4C36C30C" w14:textId="0C6050E9" w:rsidR="002E5F5D" w:rsidRDefault="002E5F5D" w:rsidP="006B4574">
      <w:pPr>
        <w:pStyle w:val="ListParagraph"/>
        <w:numPr>
          <w:ilvl w:val="1"/>
          <w:numId w:val="5"/>
        </w:numPr>
        <w:spacing w:before="120" w:after="120" w:line="264" w:lineRule="auto"/>
        <w:ind w:left="567" w:hanging="567"/>
        <w:contextualSpacing w:val="0"/>
        <w:jc w:val="both"/>
        <w:rPr>
          <w:lang w:eastAsia="en-GB"/>
        </w:rPr>
      </w:pPr>
      <w:r>
        <w:rPr>
          <w:lang w:eastAsia="en-GB"/>
        </w:rPr>
        <w:t xml:space="preserve">The following table provides details of the </w:t>
      </w:r>
      <w:r w:rsidR="00522974">
        <w:rPr>
          <w:lang w:eastAsia="en-GB"/>
        </w:rPr>
        <w:t xml:space="preserve">charges and transaction costs for </w:t>
      </w:r>
      <w:r>
        <w:rPr>
          <w:lang w:eastAsia="en-GB"/>
        </w:rPr>
        <w:t xml:space="preserve">each of the investment options provided through the DC Section over the </w:t>
      </w:r>
      <w:r w:rsidR="00561F25">
        <w:rPr>
          <w:lang w:eastAsia="en-GB"/>
        </w:rPr>
        <w:t>S</w:t>
      </w:r>
      <w:r w:rsidR="007D4681">
        <w:rPr>
          <w:lang w:eastAsia="en-GB"/>
        </w:rPr>
        <w:t>cheme year</w:t>
      </w:r>
      <w:r w:rsidR="00BD07A3">
        <w:rPr>
          <w:lang w:eastAsia="en-GB"/>
        </w:rPr>
        <w:t xml:space="preserve"> (</w:t>
      </w:r>
      <w:r>
        <w:rPr>
          <w:lang w:eastAsia="en-GB"/>
        </w:rPr>
        <w:t xml:space="preserve">data sourced from </w:t>
      </w:r>
      <w:r w:rsidR="00EB610B">
        <w:rPr>
          <w:lang w:eastAsia="en-GB"/>
        </w:rPr>
        <w:t>Aegon</w:t>
      </w:r>
      <w:r w:rsidR="008E390A">
        <w:rPr>
          <w:lang w:eastAsia="en-GB"/>
        </w:rPr>
        <w:t xml:space="preserve"> as </w:t>
      </w:r>
      <w:proofErr w:type="gramStart"/>
      <w:r w:rsidR="008E390A">
        <w:rPr>
          <w:lang w:eastAsia="en-GB"/>
        </w:rPr>
        <w:t>at</w:t>
      </w:r>
      <w:proofErr w:type="gramEnd"/>
      <w:r w:rsidR="008E390A">
        <w:rPr>
          <w:lang w:eastAsia="en-GB"/>
        </w:rPr>
        <w:t xml:space="preserve"> 31 March 2023</w:t>
      </w:r>
      <w:r w:rsidR="00BD07A3">
        <w:rPr>
          <w:lang w:eastAsia="en-GB"/>
        </w:rPr>
        <w:t>):</w:t>
      </w:r>
    </w:p>
    <w:tbl>
      <w:tblPr>
        <w:tblStyle w:val="bwTable"/>
        <w:tblW w:w="9356" w:type="dxa"/>
        <w:tblInd w:w="5" w:type="dxa"/>
        <w:tblLook w:val="04A0" w:firstRow="1" w:lastRow="0" w:firstColumn="1" w:lastColumn="0" w:noHBand="0" w:noVBand="1"/>
      </w:tblPr>
      <w:tblGrid>
        <w:gridCol w:w="3230"/>
        <w:gridCol w:w="3580"/>
        <w:gridCol w:w="2546"/>
      </w:tblGrid>
      <w:tr w:rsidR="00175E46" w:rsidRPr="00847A5D" w14:paraId="4B7BBF15" w14:textId="77777777" w:rsidTr="00142844">
        <w:trPr>
          <w:cnfStyle w:val="100000000000" w:firstRow="1" w:lastRow="0" w:firstColumn="0" w:lastColumn="0" w:oddVBand="0" w:evenVBand="0" w:oddHBand="0" w:evenHBand="0" w:firstRowFirstColumn="0" w:firstRowLastColumn="0" w:lastRowFirstColumn="0" w:lastRowLastColumn="0"/>
        </w:trPr>
        <w:tc>
          <w:tcPr>
            <w:tcW w:w="3230" w:type="dxa"/>
            <w:hideMark/>
          </w:tcPr>
          <w:p w14:paraId="6BE59087" w14:textId="77777777" w:rsidR="002E5F5D" w:rsidRPr="00847A5D" w:rsidRDefault="002E5F5D" w:rsidP="007D4681">
            <w:pPr>
              <w:pStyle w:val="NoSpacing"/>
              <w:rPr>
                <w:rFonts w:cs="Segoe UI"/>
                <w:color w:val="009FE3"/>
                <w:szCs w:val="20"/>
              </w:rPr>
            </w:pPr>
            <w:r w:rsidRPr="00847A5D">
              <w:rPr>
                <w:rFonts w:cs="Segoe UI"/>
                <w:color w:val="009FE3"/>
                <w:szCs w:val="20"/>
              </w:rPr>
              <w:t>Investment option</w:t>
            </w:r>
          </w:p>
        </w:tc>
        <w:tc>
          <w:tcPr>
            <w:tcW w:w="3580" w:type="dxa"/>
          </w:tcPr>
          <w:p w14:paraId="236A59E9" w14:textId="77777777" w:rsidR="002E5F5D" w:rsidRPr="00847A5D" w:rsidRDefault="002E5F5D" w:rsidP="007D4681">
            <w:pPr>
              <w:pStyle w:val="NoSpacing"/>
              <w:jc w:val="center"/>
              <w:rPr>
                <w:rFonts w:cs="Segoe UI"/>
                <w:color w:val="009FE3"/>
                <w:szCs w:val="20"/>
              </w:rPr>
            </w:pPr>
            <w:r w:rsidRPr="00847A5D">
              <w:rPr>
                <w:rFonts w:cs="Segoe UI"/>
                <w:color w:val="009FE3"/>
                <w:szCs w:val="20"/>
              </w:rPr>
              <w:t>TER (p.a.)</w:t>
            </w:r>
          </w:p>
        </w:tc>
        <w:tc>
          <w:tcPr>
            <w:tcW w:w="2546" w:type="dxa"/>
          </w:tcPr>
          <w:p w14:paraId="42081789" w14:textId="2D7CA1D8" w:rsidR="002E5F5D" w:rsidRPr="00847A5D" w:rsidRDefault="002E5F5D" w:rsidP="007D4681">
            <w:pPr>
              <w:pStyle w:val="NoSpacing"/>
              <w:jc w:val="center"/>
              <w:rPr>
                <w:rFonts w:cs="Segoe UI"/>
                <w:color w:val="009FE3"/>
                <w:szCs w:val="20"/>
              </w:rPr>
            </w:pPr>
            <w:r w:rsidRPr="00847A5D">
              <w:rPr>
                <w:rFonts w:cs="Segoe UI"/>
                <w:color w:val="009FE3"/>
                <w:szCs w:val="20"/>
              </w:rPr>
              <w:t>Transaction costs</w:t>
            </w:r>
            <w:r w:rsidR="00BD07A3" w:rsidRPr="00847A5D">
              <w:rPr>
                <w:rFonts w:cs="Segoe UI"/>
                <w:color w:val="009FE3"/>
                <w:szCs w:val="20"/>
              </w:rPr>
              <w:t xml:space="preserve"> (p.a.)</w:t>
            </w:r>
          </w:p>
        </w:tc>
      </w:tr>
      <w:tr w:rsidR="002E5F5D" w:rsidRPr="00847A5D" w14:paraId="2D266278"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tcPr>
          <w:p w14:paraId="655E5A13" w14:textId="52F7B5AC" w:rsidR="002E5F5D" w:rsidRPr="00847A5D" w:rsidRDefault="003D7152" w:rsidP="005E1F60">
            <w:pPr>
              <w:rPr>
                <w:rFonts w:cs="Segoe UI"/>
                <w:lang w:val="en-GB"/>
              </w:rPr>
            </w:pPr>
            <w:r w:rsidRPr="00CD21EC">
              <w:rPr>
                <w:rFonts w:cs="Segoe UI"/>
                <w:lang w:val="en-GB"/>
              </w:rPr>
              <w:t>Urenco Drawdown Path (</w:t>
            </w:r>
            <w:r w:rsidR="005E1F60" w:rsidRPr="00CD21EC">
              <w:rPr>
                <w:rFonts w:cs="Segoe UI"/>
                <w:lang w:val="en-GB"/>
              </w:rPr>
              <w:t>d</w:t>
            </w:r>
            <w:r w:rsidR="002E5F5D" w:rsidRPr="00CD21EC">
              <w:rPr>
                <w:rFonts w:cs="Segoe UI"/>
                <w:lang w:val="en-GB"/>
              </w:rPr>
              <w:t xml:space="preserve">efault </w:t>
            </w:r>
            <w:r w:rsidR="00683AF1">
              <w:rPr>
                <w:rFonts w:cs="Segoe UI"/>
                <w:lang w:val="en-GB"/>
              </w:rPr>
              <w:t xml:space="preserve">investment </w:t>
            </w:r>
            <w:r w:rsidR="00BD07A3" w:rsidRPr="00CD21EC">
              <w:rPr>
                <w:rFonts w:cs="Segoe UI"/>
                <w:lang w:val="en-GB"/>
              </w:rPr>
              <w:t>arrangement</w:t>
            </w:r>
            <w:r w:rsidR="005E1F60" w:rsidRPr="00CD21EC">
              <w:rPr>
                <w:rFonts w:cs="Segoe UI"/>
                <w:lang w:val="en-GB"/>
              </w:rPr>
              <w:t>)</w:t>
            </w:r>
            <w:r w:rsidR="002E5F5D" w:rsidRPr="00CD21EC">
              <w:rPr>
                <w:rFonts w:cs="Segoe UI"/>
                <w:lang w:val="en-GB"/>
              </w:rPr>
              <w:t xml:space="preserve"> *</w:t>
            </w:r>
          </w:p>
        </w:tc>
        <w:tc>
          <w:tcPr>
            <w:tcW w:w="3580" w:type="dxa"/>
          </w:tcPr>
          <w:p w14:paraId="6577D14F" w14:textId="074ACAF5" w:rsidR="002E5F5D" w:rsidRPr="00847A5D" w:rsidRDefault="0066207E" w:rsidP="007D4681">
            <w:pPr>
              <w:jc w:val="center"/>
              <w:rPr>
                <w:rFonts w:cs="Segoe UI"/>
                <w:lang w:val="en-GB"/>
              </w:rPr>
            </w:pPr>
            <w:r>
              <w:rPr>
                <w:rFonts w:cs="Segoe UI"/>
                <w:lang w:val="en-GB"/>
              </w:rPr>
              <w:t>0.</w:t>
            </w:r>
            <w:r w:rsidR="005E5AFA">
              <w:rPr>
                <w:rFonts w:cs="Segoe UI"/>
                <w:lang w:val="en-GB"/>
              </w:rPr>
              <w:t>43</w:t>
            </w:r>
            <w:r>
              <w:rPr>
                <w:rFonts w:cs="Segoe UI"/>
                <w:lang w:val="en-GB"/>
              </w:rPr>
              <w:t>%</w:t>
            </w:r>
          </w:p>
        </w:tc>
        <w:tc>
          <w:tcPr>
            <w:tcW w:w="2546" w:type="dxa"/>
          </w:tcPr>
          <w:p w14:paraId="40A5A136" w14:textId="4569A86F" w:rsidR="002E5F5D" w:rsidRPr="00847A5D" w:rsidRDefault="00D13F12" w:rsidP="007D4681">
            <w:pPr>
              <w:jc w:val="center"/>
              <w:rPr>
                <w:rFonts w:cs="Segoe UI"/>
                <w:lang w:val="en-GB"/>
              </w:rPr>
            </w:pPr>
            <w:r>
              <w:rPr>
                <w:rFonts w:cs="Segoe UI"/>
                <w:lang w:val="en-GB"/>
              </w:rPr>
              <w:t>0.</w:t>
            </w:r>
            <w:r w:rsidR="005E5AFA">
              <w:rPr>
                <w:rFonts w:cs="Segoe UI"/>
                <w:lang w:val="en-GB"/>
              </w:rPr>
              <w:t>09</w:t>
            </w:r>
            <w:r>
              <w:rPr>
                <w:rFonts w:cs="Segoe UI"/>
                <w:lang w:val="en-GB"/>
              </w:rPr>
              <w:t>%</w:t>
            </w:r>
          </w:p>
        </w:tc>
      </w:tr>
      <w:tr w:rsidR="002E5F5D" w:rsidRPr="00847A5D" w14:paraId="0023C8F6"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tcPr>
          <w:p w14:paraId="349C64DE" w14:textId="5D81C92C" w:rsidR="002E5F5D" w:rsidRPr="00847A5D" w:rsidRDefault="003D7152" w:rsidP="007D4681">
            <w:pPr>
              <w:rPr>
                <w:rFonts w:cs="Segoe UI"/>
                <w:lang w:val="en-GB"/>
              </w:rPr>
            </w:pPr>
            <w:r>
              <w:rPr>
                <w:rFonts w:cs="Segoe UI"/>
                <w:lang w:val="en-GB"/>
              </w:rPr>
              <w:t>Urenco Annuity Path</w:t>
            </w:r>
            <w:r w:rsidR="002E5F5D" w:rsidRPr="00847A5D">
              <w:rPr>
                <w:rFonts w:cs="Segoe UI"/>
                <w:lang w:val="en-GB"/>
              </w:rPr>
              <w:t xml:space="preserve"> *</w:t>
            </w:r>
          </w:p>
        </w:tc>
        <w:tc>
          <w:tcPr>
            <w:tcW w:w="3580" w:type="dxa"/>
          </w:tcPr>
          <w:p w14:paraId="4FBEF42D" w14:textId="016F8D29" w:rsidR="002E5F5D" w:rsidRPr="00847A5D" w:rsidRDefault="00746C42" w:rsidP="007D4681">
            <w:pPr>
              <w:jc w:val="center"/>
              <w:rPr>
                <w:rFonts w:cs="Segoe UI"/>
                <w:lang w:val="en-GB"/>
              </w:rPr>
            </w:pPr>
            <w:r>
              <w:rPr>
                <w:rFonts w:cs="Segoe UI"/>
                <w:lang w:val="en-GB"/>
              </w:rPr>
              <w:t>0.</w:t>
            </w:r>
            <w:r w:rsidR="005E5AFA" w:rsidDel="005E5AFA">
              <w:rPr>
                <w:rFonts w:cs="Segoe UI"/>
                <w:lang w:val="en-GB"/>
              </w:rPr>
              <w:t xml:space="preserve"> </w:t>
            </w:r>
            <w:r>
              <w:rPr>
                <w:rFonts w:cs="Segoe UI"/>
                <w:lang w:val="en-GB"/>
              </w:rPr>
              <w:t>4</w:t>
            </w:r>
            <w:r w:rsidR="005E5AFA">
              <w:rPr>
                <w:rFonts w:cs="Segoe UI"/>
                <w:lang w:val="en-GB"/>
              </w:rPr>
              <w:t>0</w:t>
            </w:r>
            <w:r>
              <w:rPr>
                <w:rFonts w:cs="Segoe UI"/>
                <w:lang w:val="en-GB"/>
              </w:rPr>
              <w:t>%</w:t>
            </w:r>
          </w:p>
        </w:tc>
        <w:tc>
          <w:tcPr>
            <w:tcW w:w="2546" w:type="dxa"/>
          </w:tcPr>
          <w:p w14:paraId="6BAA524A" w14:textId="6EFF4440" w:rsidR="002E5F5D" w:rsidRPr="00847A5D" w:rsidRDefault="00D13F12" w:rsidP="007D4681">
            <w:pPr>
              <w:jc w:val="center"/>
              <w:rPr>
                <w:rFonts w:cs="Segoe UI"/>
                <w:lang w:val="en-GB"/>
              </w:rPr>
            </w:pPr>
            <w:r>
              <w:rPr>
                <w:rFonts w:cs="Segoe UI"/>
                <w:lang w:val="en-GB"/>
              </w:rPr>
              <w:t>0.</w:t>
            </w:r>
            <w:r w:rsidR="005E5AFA">
              <w:rPr>
                <w:rFonts w:cs="Segoe UI"/>
                <w:lang w:val="en-GB"/>
              </w:rPr>
              <w:t>11</w:t>
            </w:r>
            <w:r>
              <w:rPr>
                <w:rFonts w:cs="Segoe UI"/>
                <w:lang w:val="en-GB"/>
              </w:rPr>
              <w:t>%</w:t>
            </w:r>
          </w:p>
        </w:tc>
      </w:tr>
      <w:tr w:rsidR="003D7152" w:rsidRPr="00847A5D" w14:paraId="63DB0188"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tcPr>
          <w:p w14:paraId="6E80EFCD" w14:textId="23AFDD00" w:rsidR="003D7152" w:rsidRPr="00847A5D" w:rsidDel="003D7152" w:rsidRDefault="003D7152" w:rsidP="007D4681">
            <w:pPr>
              <w:rPr>
                <w:rFonts w:cs="Segoe UI"/>
                <w:lang w:val="en-GB"/>
              </w:rPr>
            </w:pPr>
            <w:r w:rsidRPr="00C84319">
              <w:rPr>
                <w:rFonts w:cs="Segoe UI"/>
                <w:lang w:val="en-GB"/>
              </w:rPr>
              <w:t>Urenco Cash Path *</w:t>
            </w:r>
          </w:p>
        </w:tc>
        <w:tc>
          <w:tcPr>
            <w:tcW w:w="3580" w:type="dxa"/>
          </w:tcPr>
          <w:p w14:paraId="637C7259" w14:textId="245A9318" w:rsidR="003D7152" w:rsidRPr="00847A5D" w:rsidRDefault="00746C42" w:rsidP="007D4681">
            <w:pPr>
              <w:jc w:val="center"/>
              <w:rPr>
                <w:rFonts w:cs="Segoe UI"/>
                <w:lang w:val="en-GB"/>
              </w:rPr>
            </w:pPr>
            <w:r>
              <w:rPr>
                <w:rFonts w:cs="Segoe UI"/>
                <w:lang w:val="en-GB"/>
              </w:rPr>
              <w:t>0.</w:t>
            </w:r>
            <w:r w:rsidR="005E5AFA">
              <w:rPr>
                <w:rFonts w:cs="Segoe UI"/>
                <w:lang w:val="en-GB"/>
              </w:rPr>
              <w:t>33</w:t>
            </w:r>
            <w:r>
              <w:rPr>
                <w:rFonts w:cs="Segoe UI"/>
                <w:lang w:val="en-GB"/>
              </w:rPr>
              <w:t>%</w:t>
            </w:r>
          </w:p>
        </w:tc>
        <w:tc>
          <w:tcPr>
            <w:tcW w:w="2546" w:type="dxa"/>
          </w:tcPr>
          <w:p w14:paraId="383BA94F" w14:textId="4D6F5D70" w:rsidR="003D7152" w:rsidRPr="00847A5D" w:rsidRDefault="00D13F12" w:rsidP="007D4681">
            <w:pPr>
              <w:jc w:val="center"/>
              <w:rPr>
                <w:rFonts w:cs="Segoe UI"/>
                <w:lang w:val="en-GB"/>
              </w:rPr>
            </w:pPr>
            <w:r>
              <w:rPr>
                <w:rFonts w:cs="Segoe UI"/>
                <w:lang w:val="en-GB"/>
              </w:rPr>
              <w:t>0.0</w:t>
            </w:r>
            <w:r w:rsidR="005E5AFA">
              <w:rPr>
                <w:rFonts w:cs="Segoe UI"/>
                <w:lang w:val="en-GB"/>
              </w:rPr>
              <w:t>1</w:t>
            </w:r>
            <w:r>
              <w:rPr>
                <w:rFonts w:cs="Segoe UI"/>
                <w:lang w:val="en-GB"/>
              </w:rPr>
              <w:t>%</w:t>
            </w:r>
          </w:p>
        </w:tc>
      </w:tr>
      <w:tr w:rsidR="00D13F12" w:rsidRPr="00847A5D" w14:paraId="402C9B7F"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tcPr>
          <w:p w14:paraId="77E14461" w14:textId="11BE60AA"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Urenco PS Diversified Growth</w:t>
            </w:r>
            <w:r w:rsidR="008E390A">
              <w:rPr>
                <w:rFonts w:asciiTheme="majorHAnsi" w:hAnsiTheme="majorHAnsi" w:cstheme="majorHAnsi"/>
                <w:color w:val="000000"/>
              </w:rPr>
              <w:t>**</w:t>
            </w:r>
          </w:p>
        </w:tc>
        <w:tc>
          <w:tcPr>
            <w:tcW w:w="3580" w:type="dxa"/>
          </w:tcPr>
          <w:p w14:paraId="1A143E38" w14:textId="44606B3A" w:rsidR="00D13F12" w:rsidRPr="0066207E" w:rsidRDefault="00D13F12" w:rsidP="00D13F12">
            <w:pPr>
              <w:jc w:val="center"/>
              <w:rPr>
                <w:rFonts w:cs="Segoe UI"/>
                <w:lang w:val="en-GB"/>
              </w:rPr>
            </w:pPr>
            <w:r w:rsidRPr="00142844">
              <w:rPr>
                <w:rFonts w:cs="Segoe UI"/>
                <w:color w:val="000000"/>
              </w:rPr>
              <w:t>0.8</w:t>
            </w:r>
            <w:r w:rsidR="00906F8A">
              <w:rPr>
                <w:rFonts w:cs="Segoe UI"/>
                <w:color w:val="000000"/>
              </w:rPr>
              <w:t>5</w:t>
            </w:r>
            <w:r w:rsidRPr="00142844">
              <w:rPr>
                <w:rFonts w:cs="Segoe UI"/>
                <w:color w:val="000000"/>
              </w:rPr>
              <w:t>%</w:t>
            </w:r>
          </w:p>
        </w:tc>
        <w:tc>
          <w:tcPr>
            <w:tcW w:w="2546" w:type="dxa"/>
            <w:vAlign w:val="bottom"/>
          </w:tcPr>
          <w:p w14:paraId="15A398E1" w14:textId="41FE6C3B" w:rsidR="00D13F12" w:rsidRPr="00142844"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w:t>
            </w:r>
            <w:r w:rsidR="00906F8A">
              <w:rPr>
                <w:rFonts w:asciiTheme="majorHAnsi" w:hAnsiTheme="majorHAnsi" w:cstheme="majorHAnsi"/>
                <w:color w:val="000000"/>
              </w:rPr>
              <w:t>19</w:t>
            </w:r>
            <w:r w:rsidRPr="00142844">
              <w:rPr>
                <w:rFonts w:asciiTheme="majorHAnsi" w:hAnsiTheme="majorHAnsi" w:cstheme="majorHAnsi"/>
                <w:color w:val="000000"/>
              </w:rPr>
              <w:t>%</w:t>
            </w:r>
          </w:p>
        </w:tc>
      </w:tr>
      <w:tr w:rsidR="00D13F12" w:rsidRPr="00847A5D" w14:paraId="4F0558C8"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tcPr>
          <w:p w14:paraId="0A5633FA" w14:textId="275116A2" w:rsidR="00D13F12" w:rsidRPr="00FE2F16" w:rsidRDefault="00D13F12" w:rsidP="00D13F12">
            <w:pPr>
              <w:rPr>
                <w:rFonts w:asciiTheme="majorHAnsi" w:hAnsiTheme="majorHAnsi" w:cstheme="majorHAnsi"/>
                <w:lang w:val="en-GB"/>
              </w:rPr>
            </w:pPr>
            <w:r w:rsidRPr="00C84319">
              <w:rPr>
                <w:rFonts w:asciiTheme="majorHAnsi" w:hAnsiTheme="majorHAnsi" w:cstheme="majorHAnsi"/>
                <w:color w:val="000000"/>
              </w:rPr>
              <w:t>Urenco PS Passive Global Equity**</w:t>
            </w:r>
          </w:p>
        </w:tc>
        <w:tc>
          <w:tcPr>
            <w:tcW w:w="3580" w:type="dxa"/>
          </w:tcPr>
          <w:p w14:paraId="7A1A0897" w14:textId="6CDE09A2" w:rsidR="00D13F12" w:rsidRPr="0066207E" w:rsidRDefault="00D13F12" w:rsidP="00D13F12">
            <w:pPr>
              <w:jc w:val="center"/>
              <w:rPr>
                <w:rFonts w:cs="Segoe UI"/>
                <w:lang w:val="en-GB"/>
              </w:rPr>
            </w:pPr>
            <w:r w:rsidRPr="00142844">
              <w:rPr>
                <w:rFonts w:cs="Segoe UI"/>
                <w:color w:val="000000"/>
              </w:rPr>
              <w:t>0.24%</w:t>
            </w:r>
          </w:p>
        </w:tc>
        <w:tc>
          <w:tcPr>
            <w:tcW w:w="2546" w:type="dxa"/>
            <w:vAlign w:val="bottom"/>
          </w:tcPr>
          <w:p w14:paraId="53C8878F" w14:textId="002C0B71" w:rsidR="00D13F12" w:rsidRPr="00142844"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w:t>
            </w:r>
            <w:r w:rsidR="00735FA8">
              <w:rPr>
                <w:rFonts w:asciiTheme="majorHAnsi" w:hAnsiTheme="majorHAnsi" w:cstheme="majorHAnsi"/>
                <w:color w:val="000000"/>
              </w:rPr>
              <w:t>0</w:t>
            </w:r>
            <w:r w:rsidRPr="00142844">
              <w:rPr>
                <w:rFonts w:asciiTheme="majorHAnsi" w:hAnsiTheme="majorHAnsi" w:cstheme="majorHAnsi"/>
                <w:color w:val="000000"/>
              </w:rPr>
              <w:t>%</w:t>
            </w:r>
          </w:p>
        </w:tc>
      </w:tr>
      <w:tr w:rsidR="00D13F12" w:rsidRPr="00847A5D" w14:paraId="541CEF34"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tcPr>
          <w:p w14:paraId="2DD257D3" w14:textId="1CA817A6"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Aegon BlackRock UK Equity Optimum (BLK)</w:t>
            </w:r>
          </w:p>
        </w:tc>
        <w:tc>
          <w:tcPr>
            <w:tcW w:w="3580" w:type="dxa"/>
          </w:tcPr>
          <w:p w14:paraId="2163CE55" w14:textId="779FF3F3" w:rsidR="00D13F12" w:rsidRPr="0066207E" w:rsidRDefault="00D13F12" w:rsidP="00D13F12">
            <w:pPr>
              <w:jc w:val="center"/>
              <w:rPr>
                <w:rFonts w:cs="Segoe UI"/>
                <w:lang w:val="en-GB"/>
              </w:rPr>
            </w:pPr>
            <w:r w:rsidRPr="00142844">
              <w:rPr>
                <w:rFonts w:cs="Segoe UI"/>
                <w:color w:val="000000"/>
              </w:rPr>
              <w:t>0.65%</w:t>
            </w:r>
          </w:p>
        </w:tc>
        <w:tc>
          <w:tcPr>
            <w:tcW w:w="2546" w:type="dxa"/>
            <w:vAlign w:val="bottom"/>
          </w:tcPr>
          <w:p w14:paraId="0CEF51AC" w14:textId="34BF995C" w:rsidR="00D13F12" w:rsidRPr="00142844"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w:t>
            </w:r>
            <w:r w:rsidR="00906F8A" w:rsidRPr="00142844">
              <w:rPr>
                <w:rFonts w:asciiTheme="majorHAnsi" w:hAnsiTheme="majorHAnsi" w:cstheme="majorHAnsi"/>
                <w:color w:val="000000"/>
              </w:rPr>
              <w:t>1</w:t>
            </w:r>
            <w:r w:rsidR="00906F8A">
              <w:rPr>
                <w:rFonts w:asciiTheme="majorHAnsi" w:hAnsiTheme="majorHAnsi" w:cstheme="majorHAnsi"/>
                <w:color w:val="000000"/>
              </w:rPr>
              <w:t>7</w:t>
            </w:r>
            <w:r w:rsidRPr="00142844">
              <w:rPr>
                <w:rFonts w:asciiTheme="majorHAnsi" w:hAnsiTheme="majorHAnsi" w:cstheme="majorHAnsi"/>
                <w:color w:val="000000"/>
              </w:rPr>
              <w:t>%</w:t>
            </w:r>
          </w:p>
        </w:tc>
      </w:tr>
      <w:tr w:rsidR="00D13F12" w:rsidRPr="00847A5D" w14:paraId="4A525776"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tcPr>
          <w:p w14:paraId="75116ECF" w14:textId="1DE33A70"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Aegon BlackRock Emerging Markets Equity Index (BLK)</w:t>
            </w:r>
          </w:p>
        </w:tc>
        <w:tc>
          <w:tcPr>
            <w:tcW w:w="3580" w:type="dxa"/>
          </w:tcPr>
          <w:p w14:paraId="2FB941FF" w14:textId="356B37D0" w:rsidR="00D13F12" w:rsidRPr="0066207E" w:rsidRDefault="00D13F12" w:rsidP="00D13F12">
            <w:pPr>
              <w:jc w:val="center"/>
              <w:rPr>
                <w:rFonts w:cs="Segoe UI"/>
                <w:lang w:val="en-GB"/>
              </w:rPr>
            </w:pPr>
            <w:r w:rsidRPr="00142844">
              <w:rPr>
                <w:rFonts w:cs="Segoe UI"/>
                <w:color w:val="000000"/>
              </w:rPr>
              <w:t>0.3</w:t>
            </w:r>
            <w:r w:rsidR="00906F8A">
              <w:rPr>
                <w:rFonts w:cs="Segoe UI"/>
                <w:color w:val="000000"/>
              </w:rPr>
              <w:t>6</w:t>
            </w:r>
            <w:r w:rsidRPr="00142844">
              <w:rPr>
                <w:rFonts w:cs="Segoe UI"/>
                <w:color w:val="000000"/>
              </w:rPr>
              <w:t>%</w:t>
            </w:r>
          </w:p>
        </w:tc>
        <w:tc>
          <w:tcPr>
            <w:tcW w:w="2546" w:type="dxa"/>
            <w:vAlign w:val="bottom"/>
          </w:tcPr>
          <w:p w14:paraId="71259858" w14:textId="1B1F511A" w:rsidR="00D13F12" w:rsidRPr="00142844" w:rsidRDefault="00C84319" w:rsidP="00D13F12">
            <w:pPr>
              <w:jc w:val="center"/>
              <w:rPr>
                <w:rFonts w:asciiTheme="majorHAnsi" w:hAnsiTheme="majorHAnsi" w:cstheme="majorHAnsi"/>
                <w:color w:val="000000"/>
                <w:highlight w:val="yellow"/>
              </w:rPr>
            </w:pPr>
            <w:r>
              <w:rPr>
                <w:rFonts w:asciiTheme="majorHAnsi" w:hAnsiTheme="majorHAnsi" w:cstheme="majorHAnsi"/>
                <w:color w:val="000000"/>
              </w:rPr>
              <w:t xml:space="preserve">  </w:t>
            </w:r>
            <w:r w:rsidR="00D13F12" w:rsidRPr="00142844">
              <w:rPr>
                <w:rFonts w:asciiTheme="majorHAnsi" w:hAnsiTheme="majorHAnsi" w:cstheme="majorHAnsi"/>
                <w:color w:val="000000"/>
              </w:rPr>
              <w:t>-0.03%</w:t>
            </w:r>
            <w:r w:rsidR="00D13F12">
              <w:rPr>
                <w:rFonts w:asciiTheme="majorHAnsi" w:hAnsiTheme="majorHAnsi" w:cstheme="majorHAnsi"/>
                <w:color w:val="000000"/>
              </w:rPr>
              <w:t>***</w:t>
            </w:r>
          </w:p>
        </w:tc>
      </w:tr>
      <w:tr w:rsidR="00D13F12" w:rsidRPr="00847A5D" w14:paraId="5A4B922C"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tcPr>
          <w:p w14:paraId="53F22E7F" w14:textId="2A933CE9"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Aegon BlackRock Pacific Rim Equity Index (BLK)</w:t>
            </w:r>
          </w:p>
        </w:tc>
        <w:tc>
          <w:tcPr>
            <w:tcW w:w="3580" w:type="dxa"/>
          </w:tcPr>
          <w:p w14:paraId="6AE97355" w14:textId="6D947BCD" w:rsidR="00D13F12" w:rsidRPr="0066207E" w:rsidRDefault="00D13F12" w:rsidP="00D13F12">
            <w:pPr>
              <w:jc w:val="center"/>
              <w:rPr>
                <w:rFonts w:cs="Segoe UI"/>
                <w:lang w:val="en-GB"/>
              </w:rPr>
            </w:pPr>
            <w:r w:rsidRPr="00142844">
              <w:rPr>
                <w:rFonts w:cs="Segoe UI"/>
                <w:color w:val="000000"/>
              </w:rPr>
              <w:t>0.19%</w:t>
            </w:r>
          </w:p>
        </w:tc>
        <w:tc>
          <w:tcPr>
            <w:tcW w:w="2546" w:type="dxa"/>
            <w:vAlign w:val="bottom"/>
          </w:tcPr>
          <w:p w14:paraId="18FA6D9B" w14:textId="6D49032C" w:rsidR="00D13F12" w:rsidRPr="00142844"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w:t>
            </w:r>
            <w:r w:rsidR="00906F8A">
              <w:rPr>
                <w:rFonts w:asciiTheme="majorHAnsi" w:hAnsiTheme="majorHAnsi" w:cstheme="majorHAnsi"/>
                <w:color w:val="000000"/>
              </w:rPr>
              <w:t>0</w:t>
            </w:r>
            <w:r w:rsidRPr="00142844">
              <w:rPr>
                <w:rFonts w:asciiTheme="majorHAnsi" w:hAnsiTheme="majorHAnsi" w:cstheme="majorHAnsi"/>
                <w:color w:val="000000"/>
              </w:rPr>
              <w:t>%</w:t>
            </w:r>
          </w:p>
        </w:tc>
      </w:tr>
      <w:tr w:rsidR="00D13F12" w:rsidRPr="00847A5D" w14:paraId="2175995B"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tcPr>
          <w:p w14:paraId="20338B09" w14:textId="62BF608F"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Aegon BlackRock US Equity Index (BLK)</w:t>
            </w:r>
          </w:p>
        </w:tc>
        <w:tc>
          <w:tcPr>
            <w:tcW w:w="3580" w:type="dxa"/>
          </w:tcPr>
          <w:p w14:paraId="405817E2" w14:textId="62E835DF" w:rsidR="00D13F12" w:rsidRPr="0066207E" w:rsidRDefault="00D13F12" w:rsidP="00D13F12">
            <w:pPr>
              <w:jc w:val="center"/>
              <w:rPr>
                <w:rFonts w:cs="Segoe UI"/>
                <w:lang w:val="en-GB"/>
              </w:rPr>
            </w:pPr>
            <w:r w:rsidRPr="00142844">
              <w:rPr>
                <w:rFonts w:cs="Segoe UI"/>
                <w:color w:val="000000"/>
              </w:rPr>
              <w:t>0.19%</w:t>
            </w:r>
          </w:p>
        </w:tc>
        <w:tc>
          <w:tcPr>
            <w:tcW w:w="2546" w:type="dxa"/>
            <w:vAlign w:val="bottom"/>
          </w:tcPr>
          <w:p w14:paraId="0E9912DE" w14:textId="250B9C4F" w:rsidR="00D13F12" w:rsidRPr="00142844"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w:t>
            </w:r>
            <w:r w:rsidR="00906F8A">
              <w:rPr>
                <w:rFonts w:asciiTheme="majorHAnsi" w:hAnsiTheme="majorHAnsi" w:cstheme="majorHAnsi"/>
                <w:color w:val="000000"/>
              </w:rPr>
              <w:t>2</w:t>
            </w:r>
            <w:r w:rsidRPr="00142844">
              <w:rPr>
                <w:rFonts w:asciiTheme="majorHAnsi" w:hAnsiTheme="majorHAnsi" w:cstheme="majorHAnsi"/>
                <w:color w:val="000000"/>
              </w:rPr>
              <w:t>%</w:t>
            </w:r>
          </w:p>
        </w:tc>
      </w:tr>
      <w:tr w:rsidR="00D13F12" w:rsidRPr="00847A5D" w14:paraId="0FC76D41"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tcPr>
          <w:p w14:paraId="3788EF35" w14:textId="00E7AFED"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Aegon BlackRock Japanese Equity Index (BLK)</w:t>
            </w:r>
          </w:p>
        </w:tc>
        <w:tc>
          <w:tcPr>
            <w:tcW w:w="3580" w:type="dxa"/>
          </w:tcPr>
          <w:p w14:paraId="13633737" w14:textId="5354B8AA" w:rsidR="00D13F12" w:rsidRPr="0066207E" w:rsidRDefault="00D13F12" w:rsidP="00D13F12">
            <w:pPr>
              <w:jc w:val="center"/>
              <w:rPr>
                <w:rFonts w:cs="Segoe UI"/>
                <w:lang w:val="en-GB"/>
              </w:rPr>
            </w:pPr>
            <w:r w:rsidRPr="00142844">
              <w:rPr>
                <w:rFonts w:cs="Segoe UI"/>
                <w:color w:val="000000"/>
              </w:rPr>
              <w:t>0.19%</w:t>
            </w:r>
          </w:p>
        </w:tc>
        <w:tc>
          <w:tcPr>
            <w:tcW w:w="2546" w:type="dxa"/>
            <w:vAlign w:val="bottom"/>
          </w:tcPr>
          <w:p w14:paraId="6049F1A0" w14:textId="497836C6" w:rsidR="00D13F12" w:rsidRPr="00142844" w:rsidRDefault="00C84319" w:rsidP="00D13F12">
            <w:pPr>
              <w:jc w:val="center"/>
              <w:rPr>
                <w:rFonts w:asciiTheme="majorHAnsi" w:hAnsiTheme="majorHAnsi" w:cstheme="majorHAnsi"/>
                <w:color w:val="000000"/>
                <w:highlight w:val="yellow"/>
              </w:rPr>
            </w:pPr>
            <w:r>
              <w:rPr>
                <w:rFonts w:asciiTheme="majorHAnsi" w:hAnsiTheme="majorHAnsi" w:cstheme="majorHAnsi"/>
                <w:color w:val="000000"/>
              </w:rPr>
              <w:t xml:space="preserve">  </w:t>
            </w:r>
            <w:r w:rsidR="00906F8A">
              <w:rPr>
                <w:rFonts w:asciiTheme="majorHAnsi" w:hAnsiTheme="majorHAnsi" w:cstheme="majorHAnsi"/>
                <w:color w:val="000000"/>
              </w:rPr>
              <w:t>-</w:t>
            </w:r>
            <w:r w:rsidR="00D13F12" w:rsidRPr="00142844">
              <w:rPr>
                <w:rFonts w:asciiTheme="majorHAnsi" w:hAnsiTheme="majorHAnsi" w:cstheme="majorHAnsi"/>
                <w:color w:val="000000"/>
              </w:rPr>
              <w:t>0.</w:t>
            </w:r>
            <w:r w:rsidR="00906F8A" w:rsidRPr="00142844">
              <w:rPr>
                <w:rFonts w:asciiTheme="majorHAnsi" w:hAnsiTheme="majorHAnsi" w:cstheme="majorHAnsi"/>
                <w:color w:val="000000"/>
              </w:rPr>
              <w:t>0</w:t>
            </w:r>
            <w:r w:rsidR="00906F8A">
              <w:rPr>
                <w:rFonts w:asciiTheme="majorHAnsi" w:hAnsiTheme="majorHAnsi" w:cstheme="majorHAnsi"/>
                <w:color w:val="000000"/>
              </w:rPr>
              <w:t>2</w:t>
            </w:r>
            <w:r w:rsidR="00D13F12" w:rsidRPr="00142844">
              <w:rPr>
                <w:rFonts w:asciiTheme="majorHAnsi" w:hAnsiTheme="majorHAnsi" w:cstheme="majorHAnsi"/>
                <w:color w:val="000000"/>
              </w:rPr>
              <w:t>%</w:t>
            </w:r>
            <w:r w:rsidR="00735FA8">
              <w:rPr>
                <w:rFonts w:asciiTheme="majorHAnsi" w:hAnsiTheme="majorHAnsi" w:cstheme="majorHAnsi"/>
                <w:color w:val="000000"/>
              </w:rPr>
              <w:t>***</w:t>
            </w:r>
          </w:p>
        </w:tc>
      </w:tr>
      <w:tr w:rsidR="00D13F12" w:rsidRPr="00847A5D" w14:paraId="45FE99E6"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tcPr>
          <w:p w14:paraId="70B72031" w14:textId="17C99DF1"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Aegon BlackRock European Equity Index (BLK)</w:t>
            </w:r>
          </w:p>
        </w:tc>
        <w:tc>
          <w:tcPr>
            <w:tcW w:w="3580" w:type="dxa"/>
          </w:tcPr>
          <w:p w14:paraId="3B8AB1BD" w14:textId="23DA2CFD" w:rsidR="00D13F12" w:rsidRPr="0066207E" w:rsidRDefault="00D13F12" w:rsidP="00D13F12">
            <w:pPr>
              <w:jc w:val="center"/>
              <w:rPr>
                <w:rFonts w:cs="Segoe UI"/>
                <w:lang w:val="en-GB"/>
              </w:rPr>
            </w:pPr>
            <w:r w:rsidRPr="00142844">
              <w:rPr>
                <w:rFonts w:cs="Segoe UI"/>
                <w:color w:val="000000"/>
              </w:rPr>
              <w:t>0.</w:t>
            </w:r>
            <w:r w:rsidR="00906F8A">
              <w:rPr>
                <w:rFonts w:cs="Segoe UI"/>
                <w:color w:val="000000"/>
              </w:rPr>
              <w:t>19</w:t>
            </w:r>
            <w:r w:rsidRPr="00142844">
              <w:rPr>
                <w:rFonts w:cs="Segoe UI"/>
                <w:color w:val="000000"/>
              </w:rPr>
              <w:t>%</w:t>
            </w:r>
          </w:p>
        </w:tc>
        <w:tc>
          <w:tcPr>
            <w:tcW w:w="2546" w:type="dxa"/>
            <w:vAlign w:val="bottom"/>
          </w:tcPr>
          <w:p w14:paraId="52D16438" w14:textId="03FC9E56" w:rsidR="00D13F12" w:rsidRPr="00142844"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w:t>
            </w:r>
            <w:r w:rsidR="00906F8A" w:rsidRPr="00142844">
              <w:rPr>
                <w:rFonts w:asciiTheme="majorHAnsi" w:hAnsiTheme="majorHAnsi" w:cstheme="majorHAnsi"/>
                <w:color w:val="000000"/>
              </w:rPr>
              <w:t>0</w:t>
            </w:r>
            <w:r w:rsidR="00906F8A">
              <w:rPr>
                <w:rFonts w:asciiTheme="majorHAnsi" w:hAnsiTheme="majorHAnsi" w:cstheme="majorHAnsi"/>
                <w:color w:val="000000"/>
              </w:rPr>
              <w:t>1</w:t>
            </w:r>
            <w:r w:rsidRPr="00142844">
              <w:rPr>
                <w:rFonts w:asciiTheme="majorHAnsi" w:hAnsiTheme="majorHAnsi" w:cstheme="majorHAnsi"/>
                <w:color w:val="000000"/>
              </w:rPr>
              <w:t>%</w:t>
            </w:r>
          </w:p>
        </w:tc>
      </w:tr>
      <w:tr w:rsidR="00D13F12" w:rsidRPr="00847A5D" w14:paraId="4439CEBF"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tcPr>
          <w:p w14:paraId="5362F96D" w14:textId="1903D953" w:rsidR="00D13F12" w:rsidRPr="00142844" w:rsidRDefault="00D13F12" w:rsidP="00D13F12">
            <w:pPr>
              <w:rPr>
                <w:rFonts w:asciiTheme="majorHAnsi" w:hAnsiTheme="majorHAnsi" w:cstheme="majorHAnsi"/>
                <w:highlight w:val="yellow"/>
                <w:lang w:val="en-GB"/>
              </w:rPr>
            </w:pPr>
            <w:r w:rsidRPr="00142844">
              <w:rPr>
                <w:rFonts w:asciiTheme="majorHAnsi" w:hAnsiTheme="majorHAnsi" w:cstheme="majorHAnsi"/>
                <w:color w:val="000000"/>
              </w:rPr>
              <w:t>Aegon Standard Life Corporate Bond (BLK)</w:t>
            </w:r>
          </w:p>
        </w:tc>
        <w:tc>
          <w:tcPr>
            <w:tcW w:w="3580" w:type="dxa"/>
          </w:tcPr>
          <w:p w14:paraId="22113714" w14:textId="0D52F41B" w:rsidR="00D13F12" w:rsidRPr="0066207E" w:rsidRDefault="00D13F12" w:rsidP="00D13F12">
            <w:pPr>
              <w:jc w:val="center"/>
              <w:rPr>
                <w:rFonts w:cs="Segoe UI"/>
                <w:lang w:val="en-GB"/>
              </w:rPr>
            </w:pPr>
            <w:r w:rsidRPr="00142844">
              <w:rPr>
                <w:rFonts w:cs="Segoe UI"/>
                <w:color w:val="000000"/>
              </w:rPr>
              <w:t>0.4</w:t>
            </w:r>
            <w:r w:rsidR="00906F8A">
              <w:rPr>
                <w:rFonts w:cs="Segoe UI"/>
                <w:color w:val="000000"/>
              </w:rPr>
              <w:t>6</w:t>
            </w:r>
            <w:r w:rsidRPr="00142844">
              <w:rPr>
                <w:rFonts w:cs="Segoe UI"/>
                <w:color w:val="000000"/>
              </w:rPr>
              <w:t>%</w:t>
            </w:r>
          </w:p>
        </w:tc>
        <w:tc>
          <w:tcPr>
            <w:tcW w:w="2546" w:type="dxa"/>
            <w:vAlign w:val="bottom"/>
          </w:tcPr>
          <w:p w14:paraId="097AB9E2" w14:textId="426B5F63" w:rsidR="00D13F12" w:rsidRPr="00142844"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w:t>
            </w:r>
            <w:r w:rsidR="00906F8A" w:rsidRPr="00142844">
              <w:rPr>
                <w:rFonts w:asciiTheme="majorHAnsi" w:hAnsiTheme="majorHAnsi" w:cstheme="majorHAnsi"/>
                <w:color w:val="000000"/>
              </w:rPr>
              <w:t>0</w:t>
            </w:r>
            <w:r w:rsidR="00906F8A">
              <w:rPr>
                <w:rFonts w:asciiTheme="majorHAnsi" w:hAnsiTheme="majorHAnsi" w:cstheme="majorHAnsi"/>
                <w:color w:val="000000"/>
              </w:rPr>
              <w:t>7</w:t>
            </w:r>
            <w:r w:rsidRPr="00142844">
              <w:rPr>
                <w:rFonts w:asciiTheme="majorHAnsi" w:hAnsiTheme="majorHAnsi" w:cstheme="majorHAnsi"/>
                <w:color w:val="000000"/>
              </w:rPr>
              <w:t>%</w:t>
            </w:r>
          </w:p>
        </w:tc>
      </w:tr>
      <w:tr w:rsidR="005E5AFA" w:rsidRPr="00847A5D" w14:paraId="0A6C3461"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tcPr>
          <w:p w14:paraId="5B74C198" w14:textId="43ECE8E0" w:rsidR="005E5AFA" w:rsidRPr="00142844" w:rsidRDefault="005E5AFA" w:rsidP="00D13F12">
            <w:pPr>
              <w:rPr>
                <w:rFonts w:asciiTheme="majorHAnsi" w:hAnsiTheme="majorHAnsi" w:cstheme="majorHAnsi"/>
                <w:color w:val="000000"/>
              </w:rPr>
            </w:pPr>
            <w:r>
              <w:rPr>
                <w:rFonts w:asciiTheme="majorHAnsi" w:hAnsiTheme="majorHAnsi" w:cstheme="majorHAnsi"/>
                <w:color w:val="000000"/>
              </w:rPr>
              <w:t>Aegon Standard Life Global Absolute Return Strategies (BLK)</w:t>
            </w:r>
          </w:p>
        </w:tc>
        <w:tc>
          <w:tcPr>
            <w:tcW w:w="3580" w:type="dxa"/>
          </w:tcPr>
          <w:p w14:paraId="2933C9E6" w14:textId="5D3B77E8" w:rsidR="005E5AFA" w:rsidRPr="00142844" w:rsidRDefault="005E5AFA" w:rsidP="00D13F12">
            <w:pPr>
              <w:jc w:val="center"/>
              <w:rPr>
                <w:rFonts w:cs="Segoe UI"/>
                <w:color w:val="000000"/>
              </w:rPr>
            </w:pPr>
            <w:r>
              <w:rPr>
                <w:rFonts w:cs="Segoe UI"/>
                <w:color w:val="000000"/>
              </w:rPr>
              <w:t>1.13%</w:t>
            </w:r>
          </w:p>
        </w:tc>
        <w:tc>
          <w:tcPr>
            <w:tcW w:w="2546" w:type="dxa"/>
            <w:vAlign w:val="bottom"/>
          </w:tcPr>
          <w:p w14:paraId="42D542B0" w14:textId="1F37E6B1" w:rsidR="005E5AFA" w:rsidRPr="00142844" w:rsidRDefault="005E5AFA" w:rsidP="00D13F12">
            <w:pPr>
              <w:jc w:val="center"/>
              <w:rPr>
                <w:rFonts w:asciiTheme="majorHAnsi" w:hAnsiTheme="majorHAnsi" w:cstheme="majorHAnsi"/>
                <w:color w:val="000000"/>
              </w:rPr>
            </w:pPr>
            <w:r>
              <w:rPr>
                <w:rFonts w:asciiTheme="majorHAnsi" w:hAnsiTheme="majorHAnsi" w:cstheme="majorHAnsi"/>
                <w:color w:val="000000"/>
              </w:rPr>
              <w:t>0.72%</w:t>
            </w:r>
          </w:p>
        </w:tc>
      </w:tr>
      <w:tr w:rsidR="00D13F12" w:rsidRPr="00847A5D" w14:paraId="78E6E172"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vAlign w:val="bottom"/>
          </w:tcPr>
          <w:p w14:paraId="56BFE351" w14:textId="1F1DEF6B"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BlackRock UK Equity Index (BLK)</w:t>
            </w:r>
          </w:p>
        </w:tc>
        <w:tc>
          <w:tcPr>
            <w:tcW w:w="3580" w:type="dxa"/>
          </w:tcPr>
          <w:p w14:paraId="1A808EDE" w14:textId="2C373FEB" w:rsidR="00D13F12" w:rsidRPr="00142844" w:rsidDel="00682FC2" w:rsidRDefault="00D13F12" w:rsidP="00D13F12">
            <w:pPr>
              <w:jc w:val="center"/>
              <w:rPr>
                <w:rFonts w:cs="Segoe UI"/>
                <w:color w:val="000000"/>
              </w:rPr>
            </w:pPr>
            <w:r w:rsidRPr="00142844">
              <w:rPr>
                <w:rFonts w:cs="Segoe UI"/>
                <w:color w:val="000000"/>
              </w:rPr>
              <w:t>0.1</w:t>
            </w:r>
            <w:r w:rsidR="00906F8A">
              <w:rPr>
                <w:rFonts w:cs="Segoe UI"/>
                <w:color w:val="000000"/>
              </w:rPr>
              <w:t>8</w:t>
            </w:r>
            <w:r w:rsidRPr="00142844">
              <w:rPr>
                <w:rFonts w:cs="Segoe UI"/>
                <w:color w:val="000000"/>
              </w:rPr>
              <w:t>%</w:t>
            </w:r>
          </w:p>
        </w:tc>
        <w:tc>
          <w:tcPr>
            <w:tcW w:w="2546" w:type="dxa"/>
            <w:vAlign w:val="bottom"/>
          </w:tcPr>
          <w:p w14:paraId="50F59877" w14:textId="5E9BE3E0"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w:t>
            </w:r>
            <w:r w:rsidR="00906F8A" w:rsidRPr="00142844">
              <w:rPr>
                <w:rFonts w:asciiTheme="majorHAnsi" w:hAnsiTheme="majorHAnsi" w:cstheme="majorHAnsi"/>
                <w:color w:val="000000"/>
              </w:rPr>
              <w:t>0</w:t>
            </w:r>
            <w:r w:rsidR="00906F8A">
              <w:rPr>
                <w:rFonts w:asciiTheme="majorHAnsi" w:hAnsiTheme="majorHAnsi" w:cstheme="majorHAnsi"/>
                <w:color w:val="000000"/>
              </w:rPr>
              <w:t>7</w:t>
            </w:r>
            <w:r w:rsidRPr="00142844">
              <w:rPr>
                <w:rFonts w:asciiTheme="majorHAnsi" w:hAnsiTheme="majorHAnsi" w:cstheme="majorHAnsi"/>
                <w:color w:val="000000"/>
              </w:rPr>
              <w:t>%</w:t>
            </w:r>
          </w:p>
        </w:tc>
      </w:tr>
      <w:tr w:rsidR="00D13F12" w:rsidRPr="00847A5D" w14:paraId="04628E26"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vAlign w:val="bottom"/>
          </w:tcPr>
          <w:p w14:paraId="6DCD8C81" w14:textId="5A769377"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AM Ethical Equity (BLK)</w:t>
            </w:r>
          </w:p>
        </w:tc>
        <w:tc>
          <w:tcPr>
            <w:tcW w:w="3580" w:type="dxa"/>
          </w:tcPr>
          <w:p w14:paraId="019416FF" w14:textId="1D81E97C" w:rsidR="00D13F12" w:rsidRPr="00142844" w:rsidDel="00682FC2" w:rsidRDefault="00D13F12" w:rsidP="00D13F12">
            <w:pPr>
              <w:jc w:val="center"/>
              <w:rPr>
                <w:rFonts w:cs="Segoe UI"/>
                <w:color w:val="000000"/>
              </w:rPr>
            </w:pPr>
            <w:r w:rsidRPr="00142844">
              <w:rPr>
                <w:rFonts w:cs="Segoe UI"/>
                <w:color w:val="000000"/>
              </w:rPr>
              <w:t>0.9</w:t>
            </w:r>
            <w:r w:rsidR="00906F8A">
              <w:rPr>
                <w:rFonts w:cs="Segoe UI"/>
                <w:color w:val="000000"/>
              </w:rPr>
              <w:t>2</w:t>
            </w:r>
            <w:r w:rsidRPr="00142844">
              <w:rPr>
                <w:rFonts w:cs="Segoe UI"/>
                <w:color w:val="000000"/>
              </w:rPr>
              <w:t>%</w:t>
            </w:r>
          </w:p>
        </w:tc>
        <w:tc>
          <w:tcPr>
            <w:tcW w:w="2546" w:type="dxa"/>
            <w:vAlign w:val="bottom"/>
          </w:tcPr>
          <w:p w14:paraId="2942D7EE" w14:textId="1BE6FD1C"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w:t>
            </w:r>
            <w:r w:rsidR="00906F8A" w:rsidRPr="00142844">
              <w:rPr>
                <w:rFonts w:asciiTheme="majorHAnsi" w:hAnsiTheme="majorHAnsi" w:cstheme="majorHAnsi"/>
                <w:color w:val="000000"/>
              </w:rPr>
              <w:t>1</w:t>
            </w:r>
            <w:r w:rsidR="00906F8A">
              <w:rPr>
                <w:rFonts w:asciiTheme="majorHAnsi" w:hAnsiTheme="majorHAnsi" w:cstheme="majorHAnsi"/>
                <w:color w:val="000000"/>
              </w:rPr>
              <w:t>7</w:t>
            </w:r>
            <w:r w:rsidRPr="00142844">
              <w:rPr>
                <w:rFonts w:asciiTheme="majorHAnsi" w:hAnsiTheme="majorHAnsi" w:cstheme="majorHAnsi"/>
                <w:color w:val="000000"/>
              </w:rPr>
              <w:t>%</w:t>
            </w:r>
          </w:p>
        </w:tc>
      </w:tr>
      <w:tr w:rsidR="00D13F12" w:rsidRPr="00847A5D" w14:paraId="71B68E4C"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vAlign w:val="bottom"/>
          </w:tcPr>
          <w:p w14:paraId="582DAC41" w14:textId="120433E5"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LGIM Pre-Retirement (BLK)</w:t>
            </w:r>
          </w:p>
        </w:tc>
        <w:tc>
          <w:tcPr>
            <w:tcW w:w="3580" w:type="dxa"/>
          </w:tcPr>
          <w:p w14:paraId="6B3629EE" w14:textId="6688B931" w:rsidR="00D13F12" w:rsidRPr="00142844" w:rsidDel="00682FC2" w:rsidRDefault="00D13F12" w:rsidP="00D13F12">
            <w:pPr>
              <w:jc w:val="center"/>
              <w:rPr>
                <w:rFonts w:cs="Segoe UI"/>
                <w:color w:val="000000"/>
              </w:rPr>
            </w:pPr>
            <w:r w:rsidRPr="00142844">
              <w:rPr>
                <w:rFonts w:cs="Segoe UI"/>
                <w:color w:val="000000"/>
              </w:rPr>
              <w:t>0.30%</w:t>
            </w:r>
          </w:p>
        </w:tc>
        <w:tc>
          <w:tcPr>
            <w:tcW w:w="2546" w:type="dxa"/>
            <w:vAlign w:val="bottom"/>
          </w:tcPr>
          <w:p w14:paraId="17F37404" w14:textId="0BA48A41"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0.00%</w:t>
            </w:r>
          </w:p>
        </w:tc>
      </w:tr>
      <w:tr w:rsidR="00D13F12" w:rsidRPr="00847A5D" w14:paraId="32361972"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vAlign w:val="bottom"/>
          </w:tcPr>
          <w:p w14:paraId="2BBB88B7" w14:textId="120175CC"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BlackRock MSCI Currency Hedged World Index (BLK)</w:t>
            </w:r>
          </w:p>
        </w:tc>
        <w:tc>
          <w:tcPr>
            <w:tcW w:w="3580" w:type="dxa"/>
          </w:tcPr>
          <w:p w14:paraId="54788BED" w14:textId="585F349F" w:rsidR="00D13F12" w:rsidRPr="00142844" w:rsidDel="00682FC2" w:rsidRDefault="00D13F12" w:rsidP="00D13F12">
            <w:pPr>
              <w:jc w:val="center"/>
              <w:rPr>
                <w:rFonts w:cs="Segoe UI"/>
                <w:color w:val="000000"/>
              </w:rPr>
            </w:pPr>
            <w:r w:rsidRPr="00142844">
              <w:rPr>
                <w:rFonts w:cs="Segoe UI"/>
                <w:color w:val="000000"/>
              </w:rPr>
              <w:t>0.21%</w:t>
            </w:r>
          </w:p>
        </w:tc>
        <w:tc>
          <w:tcPr>
            <w:tcW w:w="2546" w:type="dxa"/>
            <w:vAlign w:val="bottom"/>
          </w:tcPr>
          <w:p w14:paraId="2F9CECD3" w14:textId="06B3B966"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w:t>
            </w:r>
            <w:r w:rsidR="00906F8A">
              <w:rPr>
                <w:rFonts w:asciiTheme="majorHAnsi" w:hAnsiTheme="majorHAnsi" w:cstheme="majorHAnsi"/>
                <w:color w:val="000000"/>
              </w:rPr>
              <w:t>0</w:t>
            </w:r>
            <w:r w:rsidRPr="00142844">
              <w:rPr>
                <w:rFonts w:asciiTheme="majorHAnsi" w:hAnsiTheme="majorHAnsi" w:cstheme="majorHAnsi"/>
                <w:color w:val="000000"/>
              </w:rPr>
              <w:t>%</w:t>
            </w:r>
          </w:p>
        </w:tc>
      </w:tr>
      <w:tr w:rsidR="00D13F12" w:rsidRPr="00847A5D" w14:paraId="722F6E12"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vAlign w:val="bottom"/>
          </w:tcPr>
          <w:p w14:paraId="6C9BBAC9" w14:textId="5D10CC47"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lastRenderedPageBreak/>
              <w:t>Aegon MFS Global Equity (BLK)</w:t>
            </w:r>
          </w:p>
        </w:tc>
        <w:tc>
          <w:tcPr>
            <w:tcW w:w="3580" w:type="dxa"/>
          </w:tcPr>
          <w:p w14:paraId="2D59A336" w14:textId="37DC1FD9" w:rsidR="00D13F12" w:rsidRPr="00142844" w:rsidDel="00682FC2" w:rsidRDefault="00D13F12" w:rsidP="00D13F12">
            <w:pPr>
              <w:jc w:val="center"/>
              <w:rPr>
                <w:rFonts w:cs="Segoe UI"/>
                <w:color w:val="000000"/>
              </w:rPr>
            </w:pPr>
            <w:r w:rsidRPr="00142844">
              <w:rPr>
                <w:rFonts w:cs="Segoe UI"/>
                <w:color w:val="000000"/>
              </w:rPr>
              <w:t>0.8</w:t>
            </w:r>
            <w:r w:rsidR="00906F8A">
              <w:rPr>
                <w:rFonts w:cs="Segoe UI"/>
                <w:color w:val="000000"/>
              </w:rPr>
              <w:t>4</w:t>
            </w:r>
            <w:r w:rsidRPr="00142844">
              <w:rPr>
                <w:rFonts w:cs="Segoe UI"/>
                <w:color w:val="000000"/>
              </w:rPr>
              <w:t>%</w:t>
            </w:r>
          </w:p>
        </w:tc>
        <w:tc>
          <w:tcPr>
            <w:tcW w:w="2546" w:type="dxa"/>
            <w:vAlign w:val="bottom"/>
          </w:tcPr>
          <w:p w14:paraId="62D72190" w14:textId="7EF2C28C"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0.04%</w:t>
            </w:r>
          </w:p>
        </w:tc>
      </w:tr>
      <w:tr w:rsidR="00D13F12" w:rsidRPr="00847A5D" w14:paraId="0554F300"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vAlign w:val="bottom"/>
          </w:tcPr>
          <w:p w14:paraId="6B558D90" w14:textId="6879B055"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BlackRock Long Gilt (BLK)</w:t>
            </w:r>
          </w:p>
        </w:tc>
        <w:tc>
          <w:tcPr>
            <w:tcW w:w="3580" w:type="dxa"/>
          </w:tcPr>
          <w:p w14:paraId="4C24B3BD" w14:textId="2E6F8F3D" w:rsidR="00D13F12" w:rsidRPr="00142844" w:rsidDel="00682FC2" w:rsidRDefault="00D13F12" w:rsidP="00D13F12">
            <w:pPr>
              <w:jc w:val="center"/>
              <w:rPr>
                <w:rFonts w:cs="Segoe UI"/>
                <w:color w:val="000000"/>
              </w:rPr>
            </w:pPr>
            <w:r w:rsidRPr="00142844">
              <w:rPr>
                <w:rFonts w:cs="Segoe UI"/>
                <w:color w:val="000000"/>
              </w:rPr>
              <w:t>0.18%</w:t>
            </w:r>
          </w:p>
        </w:tc>
        <w:tc>
          <w:tcPr>
            <w:tcW w:w="2546" w:type="dxa"/>
            <w:vAlign w:val="bottom"/>
          </w:tcPr>
          <w:p w14:paraId="37103F30" w14:textId="12BE9E9A"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w:t>
            </w:r>
            <w:r w:rsidR="00906F8A">
              <w:rPr>
                <w:rFonts w:asciiTheme="majorHAnsi" w:hAnsiTheme="majorHAnsi" w:cstheme="majorHAnsi"/>
                <w:color w:val="000000"/>
              </w:rPr>
              <w:t>5</w:t>
            </w:r>
            <w:r w:rsidRPr="00142844">
              <w:rPr>
                <w:rFonts w:asciiTheme="majorHAnsi" w:hAnsiTheme="majorHAnsi" w:cstheme="majorHAnsi"/>
                <w:color w:val="000000"/>
              </w:rPr>
              <w:t>%</w:t>
            </w:r>
            <w:r>
              <w:rPr>
                <w:rFonts w:asciiTheme="majorHAnsi" w:hAnsiTheme="majorHAnsi" w:cstheme="majorHAnsi"/>
                <w:color w:val="000000"/>
              </w:rPr>
              <w:t>***</w:t>
            </w:r>
          </w:p>
        </w:tc>
      </w:tr>
      <w:tr w:rsidR="00D13F12" w:rsidRPr="00847A5D" w14:paraId="0AFC89F0"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vAlign w:val="bottom"/>
          </w:tcPr>
          <w:p w14:paraId="758441EA" w14:textId="1F6EA657"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BlackRock Index-Linked Gilt (BLK)</w:t>
            </w:r>
          </w:p>
        </w:tc>
        <w:tc>
          <w:tcPr>
            <w:tcW w:w="3580" w:type="dxa"/>
          </w:tcPr>
          <w:p w14:paraId="6DE1A6DD" w14:textId="4E61225F" w:rsidR="00D13F12" w:rsidRPr="00142844" w:rsidDel="00682FC2" w:rsidRDefault="00D13F12" w:rsidP="00D13F12">
            <w:pPr>
              <w:jc w:val="center"/>
              <w:rPr>
                <w:rFonts w:cs="Segoe UI"/>
                <w:color w:val="000000"/>
              </w:rPr>
            </w:pPr>
            <w:r w:rsidRPr="00142844">
              <w:rPr>
                <w:rFonts w:cs="Segoe UI"/>
                <w:color w:val="000000"/>
              </w:rPr>
              <w:t>0.18%</w:t>
            </w:r>
          </w:p>
        </w:tc>
        <w:tc>
          <w:tcPr>
            <w:tcW w:w="2546" w:type="dxa"/>
            <w:vAlign w:val="bottom"/>
          </w:tcPr>
          <w:p w14:paraId="04CB6C0B" w14:textId="2258DCC6"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0.00%</w:t>
            </w:r>
          </w:p>
        </w:tc>
      </w:tr>
      <w:tr w:rsidR="00D13F12" w:rsidRPr="00847A5D" w14:paraId="0EE50228"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vAlign w:val="bottom"/>
          </w:tcPr>
          <w:p w14:paraId="23C3E7A6" w14:textId="72F01BF0"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Property (BLK)</w:t>
            </w:r>
          </w:p>
        </w:tc>
        <w:tc>
          <w:tcPr>
            <w:tcW w:w="3580" w:type="dxa"/>
          </w:tcPr>
          <w:p w14:paraId="2D9A9749" w14:textId="35D73A76" w:rsidR="00D13F12" w:rsidRPr="00142844" w:rsidDel="00682FC2" w:rsidRDefault="00D13F12" w:rsidP="00D13F12">
            <w:pPr>
              <w:jc w:val="center"/>
              <w:rPr>
                <w:rFonts w:cs="Segoe UI"/>
                <w:color w:val="000000"/>
              </w:rPr>
            </w:pPr>
            <w:r w:rsidRPr="00142844">
              <w:rPr>
                <w:rFonts w:cs="Segoe UI"/>
                <w:color w:val="000000"/>
              </w:rPr>
              <w:t>0.7</w:t>
            </w:r>
            <w:r w:rsidR="00906F8A">
              <w:rPr>
                <w:rFonts w:cs="Segoe UI"/>
                <w:color w:val="000000"/>
              </w:rPr>
              <w:t>9</w:t>
            </w:r>
            <w:r w:rsidRPr="00142844">
              <w:rPr>
                <w:rFonts w:cs="Segoe UI"/>
                <w:color w:val="000000"/>
              </w:rPr>
              <w:t>%</w:t>
            </w:r>
          </w:p>
        </w:tc>
        <w:tc>
          <w:tcPr>
            <w:tcW w:w="2546" w:type="dxa"/>
            <w:vAlign w:val="bottom"/>
          </w:tcPr>
          <w:p w14:paraId="1EAA860A" w14:textId="1CEA8368"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w:t>
            </w:r>
            <w:r w:rsidR="00906F8A">
              <w:rPr>
                <w:rFonts w:asciiTheme="majorHAnsi" w:hAnsiTheme="majorHAnsi" w:cstheme="majorHAnsi"/>
                <w:color w:val="000000"/>
              </w:rPr>
              <w:t>09</w:t>
            </w:r>
            <w:r w:rsidRPr="00142844">
              <w:rPr>
                <w:rFonts w:asciiTheme="majorHAnsi" w:hAnsiTheme="majorHAnsi" w:cstheme="majorHAnsi"/>
                <w:color w:val="000000"/>
              </w:rPr>
              <w:t>%</w:t>
            </w:r>
          </w:p>
        </w:tc>
      </w:tr>
      <w:tr w:rsidR="00D13F12" w:rsidRPr="00847A5D" w14:paraId="78364642" w14:textId="77777777" w:rsidTr="00142844">
        <w:trPr>
          <w:cnfStyle w:val="000000010000" w:firstRow="0" w:lastRow="0" w:firstColumn="0" w:lastColumn="0" w:oddVBand="0" w:evenVBand="0" w:oddHBand="0" w:evenHBand="1" w:firstRowFirstColumn="0" w:firstRowLastColumn="0" w:lastRowFirstColumn="0" w:lastRowLastColumn="0"/>
        </w:trPr>
        <w:tc>
          <w:tcPr>
            <w:tcW w:w="3230" w:type="dxa"/>
            <w:vAlign w:val="bottom"/>
          </w:tcPr>
          <w:p w14:paraId="1FB9BA1D" w14:textId="006CB935" w:rsidR="00D13F12" w:rsidRPr="00142844" w:rsidRDefault="00D13F12" w:rsidP="00D13F12">
            <w:pPr>
              <w:rPr>
                <w:rFonts w:asciiTheme="majorHAnsi" w:hAnsiTheme="majorHAnsi" w:cstheme="majorHAnsi"/>
                <w:color w:val="000000"/>
              </w:rPr>
            </w:pPr>
            <w:r w:rsidRPr="00142844">
              <w:rPr>
                <w:rFonts w:asciiTheme="majorHAnsi" w:hAnsiTheme="majorHAnsi" w:cstheme="majorHAnsi"/>
                <w:color w:val="000000"/>
              </w:rPr>
              <w:t>Aegon BlackRock Cash (BLK)</w:t>
            </w:r>
          </w:p>
        </w:tc>
        <w:tc>
          <w:tcPr>
            <w:tcW w:w="3580" w:type="dxa"/>
          </w:tcPr>
          <w:p w14:paraId="33259F5C" w14:textId="13A7E4E8" w:rsidR="00D13F12" w:rsidRPr="00142844" w:rsidDel="00682FC2" w:rsidRDefault="00D13F12" w:rsidP="00D13F12">
            <w:pPr>
              <w:jc w:val="center"/>
              <w:rPr>
                <w:rFonts w:cs="Segoe UI"/>
                <w:color w:val="000000"/>
              </w:rPr>
            </w:pPr>
            <w:r w:rsidRPr="00142844">
              <w:rPr>
                <w:rFonts w:cs="Segoe UI"/>
                <w:color w:val="000000"/>
              </w:rPr>
              <w:t>0.18%</w:t>
            </w:r>
          </w:p>
        </w:tc>
        <w:tc>
          <w:tcPr>
            <w:tcW w:w="2546" w:type="dxa"/>
            <w:vAlign w:val="bottom"/>
          </w:tcPr>
          <w:p w14:paraId="455F686F" w14:textId="6BBFEBA5" w:rsidR="00D13F12" w:rsidRPr="00142844" w:rsidDel="00682FC2" w:rsidRDefault="00D13F12" w:rsidP="00D13F12">
            <w:pPr>
              <w:jc w:val="center"/>
              <w:rPr>
                <w:rFonts w:asciiTheme="majorHAnsi" w:hAnsiTheme="majorHAnsi" w:cstheme="majorHAnsi"/>
                <w:color w:val="000000"/>
                <w:highlight w:val="yellow"/>
              </w:rPr>
            </w:pPr>
            <w:r w:rsidRPr="00142844">
              <w:rPr>
                <w:rFonts w:asciiTheme="majorHAnsi" w:hAnsiTheme="majorHAnsi" w:cstheme="majorHAnsi"/>
                <w:color w:val="000000"/>
              </w:rPr>
              <w:t>0.0</w:t>
            </w:r>
            <w:r w:rsidR="00906F8A">
              <w:rPr>
                <w:rFonts w:asciiTheme="majorHAnsi" w:hAnsiTheme="majorHAnsi" w:cstheme="majorHAnsi"/>
                <w:color w:val="000000"/>
              </w:rPr>
              <w:t>1</w:t>
            </w:r>
            <w:r w:rsidRPr="00142844">
              <w:rPr>
                <w:rFonts w:asciiTheme="majorHAnsi" w:hAnsiTheme="majorHAnsi" w:cstheme="majorHAnsi"/>
                <w:color w:val="000000"/>
              </w:rPr>
              <w:t>%</w:t>
            </w:r>
          </w:p>
        </w:tc>
      </w:tr>
      <w:tr w:rsidR="00906F8A" w:rsidRPr="00847A5D" w14:paraId="0A606E81" w14:textId="77777777" w:rsidTr="00142844">
        <w:trPr>
          <w:cnfStyle w:val="000000100000" w:firstRow="0" w:lastRow="0" w:firstColumn="0" w:lastColumn="0" w:oddVBand="0" w:evenVBand="0" w:oddHBand="1" w:evenHBand="0" w:firstRowFirstColumn="0" w:firstRowLastColumn="0" w:lastRowFirstColumn="0" w:lastRowLastColumn="0"/>
        </w:trPr>
        <w:tc>
          <w:tcPr>
            <w:tcW w:w="3230" w:type="dxa"/>
            <w:vAlign w:val="bottom"/>
          </w:tcPr>
          <w:p w14:paraId="5BF21E7A" w14:textId="0DB15C5C" w:rsidR="00906F8A" w:rsidRPr="00142844" w:rsidRDefault="00906F8A" w:rsidP="00D13F12">
            <w:pPr>
              <w:rPr>
                <w:rFonts w:asciiTheme="majorHAnsi" w:hAnsiTheme="majorHAnsi" w:cstheme="majorHAnsi"/>
                <w:color w:val="000000"/>
              </w:rPr>
            </w:pPr>
            <w:r>
              <w:rPr>
                <w:rFonts w:asciiTheme="majorHAnsi" w:hAnsiTheme="majorHAnsi" w:cstheme="majorHAnsi"/>
                <w:color w:val="000000"/>
              </w:rPr>
              <w:t>Aegon BlackRock Dynamic Diversified Growth (BLK)</w:t>
            </w:r>
          </w:p>
        </w:tc>
        <w:tc>
          <w:tcPr>
            <w:tcW w:w="3580" w:type="dxa"/>
          </w:tcPr>
          <w:p w14:paraId="72880948" w14:textId="01270B88" w:rsidR="00906F8A" w:rsidRPr="00142844" w:rsidRDefault="00906F8A" w:rsidP="00D13F12">
            <w:pPr>
              <w:jc w:val="center"/>
              <w:rPr>
                <w:rFonts w:cs="Segoe UI"/>
                <w:color w:val="000000"/>
              </w:rPr>
            </w:pPr>
            <w:r>
              <w:rPr>
                <w:rFonts w:cs="Segoe UI"/>
                <w:color w:val="000000"/>
              </w:rPr>
              <w:t>0.59%</w:t>
            </w:r>
          </w:p>
        </w:tc>
        <w:tc>
          <w:tcPr>
            <w:tcW w:w="2546" w:type="dxa"/>
            <w:vAlign w:val="bottom"/>
          </w:tcPr>
          <w:p w14:paraId="67D8FCA0" w14:textId="6420C2BB" w:rsidR="00906F8A" w:rsidRPr="00142844" w:rsidRDefault="00906F8A" w:rsidP="00D13F12">
            <w:pPr>
              <w:jc w:val="center"/>
              <w:rPr>
                <w:rFonts w:asciiTheme="majorHAnsi" w:hAnsiTheme="majorHAnsi" w:cstheme="majorHAnsi"/>
                <w:color w:val="000000"/>
              </w:rPr>
            </w:pPr>
            <w:r>
              <w:rPr>
                <w:rFonts w:asciiTheme="majorHAnsi" w:hAnsiTheme="majorHAnsi" w:cstheme="majorHAnsi"/>
                <w:color w:val="000000"/>
              </w:rPr>
              <w:t>0.37%</w:t>
            </w:r>
          </w:p>
        </w:tc>
      </w:tr>
    </w:tbl>
    <w:p w14:paraId="78BD3F56" w14:textId="3195B3FB" w:rsidR="002E5F5D" w:rsidRDefault="002E5F5D" w:rsidP="00847A5D">
      <w:pPr>
        <w:pStyle w:val="BodyText"/>
        <w:spacing w:before="120" w:after="120" w:line="264" w:lineRule="auto"/>
        <w:ind w:left="567" w:hanging="567"/>
        <w:rPr>
          <w:color w:val="000000" w:themeColor="text1"/>
        </w:rPr>
      </w:pPr>
      <w:r>
        <w:rPr>
          <w:color w:val="000000" w:themeColor="text1"/>
        </w:rPr>
        <w:t>*</w:t>
      </w:r>
      <w:r w:rsidR="0062684D">
        <w:rPr>
          <w:color w:val="000000" w:themeColor="text1"/>
        </w:rPr>
        <w:tab/>
      </w:r>
      <w:bookmarkStart w:id="2" w:name="_Hlk143089881"/>
      <w:r w:rsidR="00522974">
        <w:rPr>
          <w:color w:val="000000" w:themeColor="text1"/>
        </w:rPr>
        <w:t xml:space="preserve">The </w:t>
      </w:r>
      <w:r>
        <w:rPr>
          <w:color w:val="000000" w:themeColor="text1"/>
        </w:rPr>
        <w:t xml:space="preserve">quoted charges and transaction costs for each lifestyle strategy are calculated as a composite of the underlying fund charges and transaction costs.  These </w:t>
      </w:r>
      <w:r w:rsidR="00DF7B10">
        <w:rPr>
          <w:color w:val="000000" w:themeColor="text1"/>
        </w:rPr>
        <w:t xml:space="preserve">fund holdings and therefore also charges </w:t>
      </w:r>
      <w:r>
        <w:rPr>
          <w:color w:val="000000" w:themeColor="text1"/>
        </w:rPr>
        <w:t xml:space="preserve">will vary depending upon each member’s term to </w:t>
      </w:r>
      <w:r w:rsidR="00DF7B10">
        <w:rPr>
          <w:color w:val="000000" w:themeColor="text1"/>
        </w:rPr>
        <w:t>retirement age</w:t>
      </w:r>
      <w:r>
        <w:rPr>
          <w:color w:val="000000" w:themeColor="text1"/>
        </w:rPr>
        <w:t>.</w:t>
      </w:r>
    </w:p>
    <w:bookmarkEnd w:id="2"/>
    <w:p w14:paraId="57266957" w14:textId="469C02B5" w:rsidR="002A14CB" w:rsidRDefault="002A14CB" w:rsidP="00847A5D">
      <w:pPr>
        <w:pStyle w:val="BodyText"/>
        <w:spacing w:before="120" w:after="120" w:line="264" w:lineRule="auto"/>
        <w:ind w:left="567" w:hanging="567"/>
        <w:rPr>
          <w:color w:val="000000" w:themeColor="text1"/>
        </w:rPr>
      </w:pPr>
      <w:r>
        <w:rPr>
          <w:color w:val="000000" w:themeColor="text1"/>
        </w:rPr>
        <w:t xml:space="preserve">** </w:t>
      </w:r>
      <w:r>
        <w:rPr>
          <w:color w:val="000000" w:themeColor="text1"/>
        </w:rPr>
        <w:tab/>
        <w:t xml:space="preserve">This </w:t>
      </w:r>
      <w:r w:rsidR="0066207E">
        <w:rPr>
          <w:color w:val="000000" w:themeColor="text1"/>
        </w:rPr>
        <w:t>fund is only available in Urenco Paths and is not available as a self-select fund</w:t>
      </w:r>
    </w:p>
    <w:p w14:paraId="1D51DBB3" w14:textId="750BF1A0" w:rsidR="0062684D" w:rsidRDefault="0062684D" w:rsidP="00847A5D">
      <w:pPr>
        <w:pStyle w:val="BodyText"/>
        <w:spacing w:before="120" w:after="120" w:line="264" w:lineRule="auto"/>
        <w:ind w:left="567" w:hanging="567"/>
        <w:rPr>
          <w:color w:val="000000" w:themeColor="text1"/>
        </w:rPr>
      </w:pPr>
      <w:r>
        <w:rPr>
          <w:color w:val="000000" w:themeColor="text1"/>
        </w:rPr>
        <w:t>**</w:t>
      </w:r>
      <w:r w:rsidR="002A14CB">
        <w:rPr>
          <w:color w:val="000000" w:themeColor="text1"/>
        </w:rPr>
        <w:t>*</w:t>
      </w:r>
      <w:r>
        <w:rPr>
          <w:color w:val="000000" w:themeColor="text1"/>
        </w:rPr>
        <w:tab/>
      </w:r>
      <w:r w:rsidR="00522974">
        <w:rPr>
          <w:color w:val="000000" w:themeColor="text1"/>
        </w:rPr>
        <w:t xml:space="preserve">In </w:t>
      </w:r>
      <w:r>
        <w:rPr>
          <w:color w:val="000000" w:themeColor="text1"/>
        </w:rPr>
        <w:t>certain circumstances</w:t>
      </w:r>
      <w:r w:rsidR="00522974">
        <w:rPr>
          <w:color w:val="000000" w:themeColor="text1"/>
        </w:rPr>
        <w:t>,</w:t>
      </w:r>
      <w:r>
        <w:rPr>
          <w:color w:val="000000" w:themeColor="text1"/>
        </w:rPr>
        <w:t xml:space="preserve"> the methodology used for calculating transaction costs (known as slippage) can lead to negative costs being reported.  This can be, for example, where </w:t>
      </w:r>
      <w:r w:rsidRPr="00AB2B7D">
        <w:rPr>
          <w:color w:val="000000" w:themeColor="text1"/>
        </w:rPr>
        <w:t xml:space="preserve">other market activity pushes </w:t>
      </w:r>
      <w:r w:rsidR="00DF7B10">
        <w:rPr>
          <w:color w:val="000000" w:themeColor="text1"/>
        </w:rPr>
        <w:t xml:space="preserve">down </w:t>
      </w:r>
      <w:r w:rsidRPr="00AB2B7D">
        <w:rPr>
          <w:color w:val="000000" w:themeColor="text1"/>
        </w:rPr>
        <w:t>the price of the asset being traded, whilst the transaction was in progress, resulting in the asset being purchased for a lower price than when the trade was initiated.</w:t>
      </w:r>
    </w:p>
    <w:p w14:paraId="65913CB6" w14:textId="38A4B8A0" w:rsidR="007D4681" w:rsidRPr="00847A5D" w:rsidRDefault="007D4681" w:rsidP="00847A5D">
      <w:pPr>
        <w:pStyle w:val="Heading2"/>
      </w:pPr>
      <w:r w:rsidRPr="0006610A">
        <w:t>Charges in relation to AVCs</w:t>
      </w:r>
    </w:p>
    <w:p w14:paraId="0FD311B9" w14:textId="0F0AE93C" w:rsidR="007D4681" w:rsidRDefault="007D4681" w:rsidP="006B4574">
      <w:pPr>
        <w:pStyle w:val="ListParagraph"/>
        <w:numPr>
          <w:ilvl w:val="1"/>
          <w:numId w:val="5"/>
        </w:numPr>
        <w:spacing w:before="120" w:after="120" w:line="264" w:lineRule="auto"/>
        <w:ind w:left="567" w:hanging="567"/>
        <w:contextualSpacing w:val="0"/>
        <w:jc w:val="both"/>
        <w:rPr>
          <w:lang w:eastAsia="en-GB"/>
        </w:rPr>
      </w:pPr>
      <w:r>
        <w:rPr>
          <w:lang w:eastAsia="en-GB"/>
        </w:rPr>
        <w:t xml:space="preserve">The following table provides details of the </w:t>
      </w:r>
      <w:r w:rsidR="00FD29AB">
        <w:rPr>
          <w:lang w:eastAsia="en-GB"/>
        </w:rPr>
        <w:t xml:space="preserve">charges and transaction costs for </w:t>
      </w:r>
      <w:r>
        <w:rPr>
          <w:lang w:eastAsia="en-GB"/>
        </w:rPr>
        <w:t xml:space="preserve">each of the investment options provided through the </w:t>
      </w:r>
      <w:r w:rsidR="00FD29AB">
        <w:rPr>
          <w:lang w:eastAsia="en-GB"/>
        </w:rPr>
        <w:t>AVC arrangement</w:t>
      </w:r>
      <w:r>
        <w:rPr>
          <w:lang w:eastAsia="en-GB"/>
        </w:rPr>
        <w:t xml:space="preserve"> over the </w:t>
      </w:r>
      <w:r w:rsidR="00561F25">
        <w:rPr>
          <w:lang w:eastAsia="en-GB"/>
        </w:rPr>
        <w:t>S</w:t>
      </w:r>
      <w:r>
        <w:rPr>
          <w:lang w:eastAsia="en-GB"/>
        </w:rPr>
        <w:t xml:space="preserve">cheme year (data sourced from </w:t>
      </w:r>
      <w:r w:rsidR="00682FC2">
        <w:rPr>
          <w:lang w:eastAsia="en-GB"/>
        </w:rPr>
        <w:t>Prudential</w:t>
      </w:r>
      <w:r w:rsidR="00C04F67">
        <w:rPr>
          <w:lang w:eastAsia="en-GB"/>
        </w:rPr>
        <w:t xml:space="preserve"> </w:t>
      </w:r>
      <w:r w:rsidR="00B80628">
        <w:rPr>
          <w:lang w:eastAsia="en-GB"/>
        </w:rPr>
        <w:t>and</w:t>
      </w:r>
      <w:r w:rsidR="00682FC2">
        <w:rPr>
          <w:lang w:eastAsia="en-GB"/>
        </w:rPr>
        <w:t xml:space="preserve"> Clerical Medical</w:t>
      </w:r>
      <w:r w:rsidR="00C04F67">
        <w:rPr>
          <w:lang w:eastAsia="en-GB"/>
        </w:rPr>
        <w:t xml:space="preserve"> as </w:t>
      </w:r>
      <w:proofErr w:type="gramStart"/>
      <w:r w:rsidR="00C04F67">
        <w:rPr>
          <w:lang w:eastAsia="en-GB"/>
        </w:rPr>
        <w:t>at</w:t>
      </w:r>
      <w:proofErr w:type="gramEnd"/>
      <w:r w:rsidR="00C04F67">
        <w:rPr>
          <w:lang w:eastAsia="en-GB"/>
        </w:rPr>
        <w:t xml:space="preserve"> 31 March 202</w:t>
      </w:r>
      <w:r w:rsidR="003C0F1D">
        <w:rPr>
          <w:lang w:eastAsia="en-GB"/>
        </w:rPr>
        <w:t>3</w:t>
      </w:r>
      <w:r w:rsidR="00E02B6E">
        <w:rPr>
          <w:lang w:eastAsia="en-GB"/>
        </w:rPr>
        <w:t>, with the exception of Prudential’s Transaction costs which were only available as at 30 September 2022</w:t>
      </w:r>
      <w:r>
        <w:rPr>
          <w:lang w:eastAsia="en-GB"/>
        </w:rPr>
        <w:t xml:space="preserve">):  </w:t>
      </w:r>
    </w:p>
    <w:tbl>
      <w:tblPr>
        <w:tblStyle w:val="bwTable"/>
        <w:tblW w:w="9356" w:type="dxa"/>
        <w:tblLook w:val="04A0" w:firstRow="1" w:lastRow="0" w:firstColumn="1" w:lastColumn="0" w:noHBand="0" w:noVBand="1"/>
      </w:tblPr>
      <w:tblGrid>
        <w:gridCol w:w="3685"/>
        <w:gridCol w:w="2489"/>
        <w:gridCol w:w="3182"/>
      </w:tblGrid>
      <w:tr w:rsidR="007D4681" w:rsidRPr="00847A5D" w14:paraId="5EDA75CA" w14:textId="77777777" w:rsidTr="005369D5">
        <w:trPr>
          <w:cnfStyle w:val="100000000000" w:firstRow="1" w:lastRow="0" w:firstColumn="0" w:lastColumn="0" w:oddVBand="0" w:evenVBand="0" w:oddHBand="0" w:evenHBand="0" w:firstRowFirstColumn="0" w:firstRowLastColumn="0" w:lastRowFirstColumn="0" w:lastRowLastColumn="0"/>
        </w:trPr>
        <w:tc>
          <w:tcPr>
            <w:tcW w:w="3685" w:type="dxa"/>
            <w:hideMark/>
          </w:tcPr>
          <w:p w14:paraId="2F5BB1F6" w14:textId="77777777" w:rsidR="007D4681" w:rsidRPr="00847A5D" w:rsidRDefault="007D4681" w:rsidP="007D4681">
            <w:pPr>
              <w:pStyle w:val="NoSpacing"/>
              <w:rPr>
                <w:rFonts w:cs="Segoe UI"/>
                <w:color w:val="009FE3"/>
                <w:szCs w:val="20"/>
              </w:rPr>
            </w:pPr>
            <w:r w:rsidRPr="00847A5D">
              <w:rPr>
                <w:rFonts w:cs="Segoe UI"/>
                <w:color w:val="009FE3"/>
                <w:szCs w:val="20"/>
              </w:rPr>
              <w:t>Investment option</w:t>
            </w:r>
          </w:p>
        </w:tc>
        <w:tc>
          <w:tcPr>
            <w:tcW w:w="2489" w:type="dxa"/>
          </w:tcPr>
          <w:p w14:paraId="6BC6F658" w14:textId="77777777" w:rsidR="007D4681" w:rsidRPr="00847A5D" w:rsidRDefault="007D4681" w:rsidP="007D4681">
            <w:pPr>
              <w:pStyle w:val="NoSpacing"/>
              <w:jc w:val="center"/>
              <w:rPr>
                <w:rFonts w:cs="Segoe UI"/>
                <w:color w:val="009FE3"/>
                <w:szCs w:val="20"/>
              </w:rPr>
            </w:pPr>
            <w:r w:rsidRPr="00847A5D">
              <w:rPr>
                <w:rFonts w:cs="Segoe UI"/>
                <w:color w:val="009FE3"/>
                <w:szCs w:val="20"/>
              </w:rPr>
              <w:t>TER (p.a.)</w:t>
            </w:r>
          </w:p>
        </w:tc>
        <w:tc>
          <w:tcPr>
            <w:tcW w:w="3182" w:type="dxa"/>
          </w:tcPr>
          <w:p w14:paraId="4AE56EDA" w14:textId="77777777" w:rsidR="007D4681" w:rsidRPr="00847A5D" w:rsidRDefault="007D4681" w:rsidP="007D4681">
            <w:pPr>
              <w:pStyle w:val="NoSpacing"/>
              <w:jc w:val="center"/>
              <w:rPr>
                <w:rFonts w:cs="Segoe UI"/>
                <w:color w:val="009FE3"/>
                <w:szCs w:val="20"/>
              </w:rPr>
            </w:pPr>
            <w:r w:rsidRPr="00847A5D">
              <w:rPr>
                <w:rFonts w:cs="Segoe UI"/>
                <w:color w:val="009FE3"/>
                <w:szCs w:val="20"/>
              </w:rPr>
              <w:t>Transaction costs (p.a.)</w:t>
            </w:r>
          </w:p>
        </w:tc>
      </w:tr>
      <w:tr w:rsidR="007D4681" w:rsidRPr="00847A5D" w14:paraId="65DB5C29"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tcPr>
          <w:p w14:paraId="7DE5A2FE" w14:textId="178B3FC5" w:rsidR="007D4681" w:rsidRPr="004A74B6" w:rsidRDefault="00F73E77" w:rsidP="00D05D65">
            <w:pPr>
              <w:rPr>
                <w:rFonts w:asciiTheme="majorHAnsi" w:hAnsiTheme="majorHAnsi" w:cstheme="majorHAnsi"/>
                <w:lang w:val="en-GB"/>
              </w:rPr>
            </w:pPr>
            <w:r w:rsidRPr="004A74B6">
              <w:rPr>
                <w:rFonts w:asciiTheme="majorHAnsi" w:hAnsiTheme="majorHAnsi" w:cstheme="majorHAnsi"/>
                <w:lang w:val="en-GB"/>
              </w:rPr>
              <w:t>Clerical Medical UK Growth Fund</w:t>
            </w:r>
          </w:p>
        </w:tc>
        <w:tc>
          <w:tcPr>
            <w:tcW w:w="2489" w:type="dxa"/>
          </w:tcPr>
          <w:p w14:paraId="6DAAD797" w14:textId="679DFB46" w:rsidR="007D4681" w:rsidRPr="004A74B6" w:rsidRDefault="00F73E77" w:rsidP="00D05D65">
            <w:pPr>
              <w:jc w:val="center"/>
              <w:rPr>
                <w:rFonts w:asciiTheme="majorHAnsi" w:hAnsiTheme="majorHAnsi" w:cstheme="majorHAnsi"/>
                <w:lang w:val="en-GB"/>
              </w:rPr>
            </w:pPr>
            <w:r w:rsidRPr="004A74B6">
              <w:rPr>
                <w:rFonts w:asciiTheme="majorHAnsi" w:hAnsiTheme="majorHAnsi" w:cstheme="majorHAnsi"/>
                <w:lang w:val="en-GB"/>
              </w:rPr>
              <w:t>0.495%</w:t>
            </w:r>
          </w:p>
        </w:tc>
        <w:tc>
          <w:tcPr>
            <w:tcW w:w="3182" w:type="dxa"/>
          </w:tcPr>
          <w:p w14:paraId="4E1DBCA8" w14:textId="7081A672" w:rsidR="007D4681" w:rsidRPr="004A74B6" w:rsidRDefault="00F73E77" w:rsidP="00D05D65">
            <w:pPr>
              <w:jc w:val="center"/>
              <w:rPr>
                <w:rFonts w:asciiTheme="majorHAnsi" w:hAnsiTheme="majorHAnsi" w:cstheme="majorHAnsi"/>
                <w:lang w:val="en-GB"/>
              </w:rPr>
            </w:pPr>
            <w:r w:rsidRPr="004A74B6">
              <w:rPr>
                <w:rFonts w:asciiTheme="majorHAnsi" w:hAnsiTheme="majorHAnsi" w:cstheme="majorHAnsi"/>
                <w:lang w:val="en-GB"/>
              </w:rPr>
              <w:t>0.</w:t>
            </w:r>
            <w:r w:rsidR="00B80628">
              <w:rPr>
                <w:rFonts w:asciiTheme="majorHAnsi" w:hAnsiTheme="majorHAnsi" w:cstheme="majorHAnsi"/>
                <w:lang w:val="en-GB"/>
              </w:rPr>
              <w:t>38</w:t>
            </w:r>
            <w:r w:rsidRPr="004A74B6">
              <w:rPr>
                <w:rFonts w:asciiTheme="majorHAnsi" w:hAnsiTheme="majorHAnsi" w:cstheme="majorHAnsi"/>
                <w:lang w:val="en-GB"/>
              </w:rPr>
              <w:t>%</w:t>
            </w:r>
          </w:p>
        </w:tc>
      </w:tr>
      <w:tr w:rsidR="007D4681" w:rsidRPr="00847A5D" w14:paraId="70030182"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tcPr>
          <w:p w14:paraId="2B6B76A6" w14:textId="3257FD8E" w:rsidR="007D4681" w:rsidRPr="004A74B6" w:rsidRDefault="00F73E77" w:rsidP="00D05D65">
            <w:pPr>
              <w:rPr>
                <w:rFonts w:asciiTheme="majorHAnsi" w:hAnsiTheme="majorHAnsi" w:cstheme="majorHAnsi"/>
                <w:lang w:val="en-GB"/>
              </w:rPr>
            </w:pPr>
            <w:r w:rsidRPr="004A74B6">
              <w:rPr>
                <w:rFonts w:asciiTheme="majorHAnsi" w:hAnsiTheme="majorHAnsi" w:cstheme="majorHAnsi"/>
                <w:lang w:val="en-GB"/>
              </w:rPr>
              <w:t>Clerical Medical UK Equity Income (Acc)</w:t>
            </w:r>
          </w:p>
        </w:tc>
        <w:tc>
          <w:tcPr>
            <w:tcW w:w="2489" w:type="dxa"/>
          </w:tcPr>
          <w:p w14:paraId="54B38B68" w14:textId="79A6ED1F" w:rsidR="007D4681" w:rsidRPr="004A74B6" w:rsidRDefault="00F73E77" w:rsidP="00D05D65">
            <w:pPr>
              <w:jc w:val="center"/>
              <w:rPr>
                <w:rFonts w:asciiTheme="majorHAnsi" w:hAnsiTheme="majorHAnsi" w:cstheme="majorHAnsi"/>
                <w:lang w:val="en-GB"/>
              </w:rPr>
            </w:pPr>
            <w:r w:rsidRPr="004A74B6">
              <w:rPr>
                <w:rFonts w:asciiTheme="majorHAnsi" w:hAnsiTheme="majorHAnsi" w:cstheme="majorHAnsi"/>
                <w:lang w:val="en-GB"/>
              </w:rPr>
              <w:t>0.495%</w:t>
            </w:r>
          </w:p>
        </w:tc>
        <w:tc>
          <w:tcPr>
            <w:tcW w:w="3182" w:type="dxa"/>
          </w:tcPr>
          <w:p w14:paraId="06F7EB1A" w14:textId="38DB644B" w:rsidR="007D4681" w:rsidRPr="004A74B6" w:rsidRDefault="00F73E77" w:rsidP="00D05D65">
            <w:pPr>
              <w:jc w:val="center"/>
              <w:rPr>
                <w:rFonts w:asciiTheme="majorHAnsi" w:hAnsiTheme="majorHAnsi" w:cstheme="majorHAnsi"/>
                <w:lang w:val="en-GB"/>
              </w:rPr>
            </w:pPr>
            <w:r w:rsidRPr="004A74B6">
              <w:rPr>
                <w:rFonts w:asciiTheme="majorHAnsi" w:hAnsiTheme="majorHAnsi" w:cstheme="majorHAnsi"/>
                <w:lang w:val="en-GB"/>
              </w:rPr>
              <w:t>0.</w:t>
            </w:r>
            <w:r w:rsidR="00B80628">
              <w:rPr>
                <w:rFonts w:asciiTheme="majorHAnsi" w:hAnsiTheme="majorHAnsi" w:cstheme="majorHAnsi"/>
                <w:lang w:val="en-GB"/>
              </w:rPr>
              <w:t>35</w:t>
            </w:r>
            <w:r w:rsidRPr="004A74B6">
              <w:rPr>
                <w:rFonts w:asciiTheme="majorHAnsi" w:hAnsiTheme="majorHAnsi" w:cstheme="majorHAnsi"/>
                <w:lang w:val="en-GB"/>
              </w:rPr>
              <w:t>%</w:t>
            </w:r>
          </w:p>
        </w:tc>
      </w:tr>
      <w:tr w:rsidR="007D4681" w:rsidRPr="00847A5D" w14:paraId="04F92D63"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tcPr>
          <w:p w14:paraId="3E5DD9DA" w14:textId="1B85F48C" w:rsidR="007D4681" w:rsidRPr="004A74B6" w:rsidRDefault="00F73E77" w:rsidP="00D05D65">
            <w:pPr>
              <w:rPr>
                <w:rFonts w:asciiTheme="majorHAnsi" w:hAnsiTheme="majorHAnsi" w:cstheme="majorHAnsi"/>
                <w:lang w:val="en-GB"/>
              </w:rPr>
            </w:pPr>
            <w:r w:rsidRPr="004A74B6">
              <w:rPr>
                <w:rFonts w:asciiTheme="majorHAnsi" w:hAnsiTheme="majorHAnsi" w:cstheme="majorHAnsi"/>
                <w:lang w:val="en-GB"/>
              </w:rPr>
              <w:t>Clerical Medical European</w:t>
            </w:r>
          </w:p>
        </w:tc>
        <w:tc>
          <w:tcPr>
            <w:tcW w:w="2489" w:type="dxa"/>
          </w:tcPr>
          <w:p w14:paraId="317B6354" w14:textId="13E3ACC9" w:rsidR="007D4681" w:rsidRPr="004A74B6" w:rsidRDefault="00F73E77" w:rsidP="00D05D65">
            <w:pPr>
              <w:jc w:val="center"/>
              <w:rPr>
                <w:rFonts w:asciiTheme="majorHAnsi" w:hAnsiTheme="majorHAnsi" w:cstheme="majorHAnsi"/>
                <w:lang w:val="en-GB"/>
              </w:rPr>
            </w:pPr>
            <w:r w:rsidRPr="004A74B6">
              <w:rPr>
                <w:rFonts w:asciiTheme="majorHAnsi" w:hAnsiTheme="majorHAnsi" w:cstheme="majorHAnsi"/>
                <w:lang w:val="en-GB"/>
              </w:rPr>
              <w:t>0.495%</w:t>
            </w:r>
          </w:p>
        </w:tc>
        <w:tc>
          <w:tcPr>
            <w:tcW w:w="3182" w:type="dxa"/>
          </w:tcPr>
          <w:p w14:paraId="659E4CE7" w14:textId="53A354E8" w:rsidR="007D4681" w:rsidRPr="004A74B6" w:rsidRDefault="00F73E77" w:rsidP="00D05D65">
            <w:pPr>
              <w:jc w:val="center"/>
              <w:rPr>
                <w:rFonts w:asciiTheme="majorHAnsi" w:hAnsiTheme="majorHAnsi" w:cstheme="majorHAnsi"/>
                <w:color w:val="000000"/>
              </w:rPr>
            </w:pPr>
            <w:r w:rsidRPr="004A74B6">
              <w:rPr>
                <w:rFonts w:asciiTheme="majorHAnsi" w:hAnsiTheme="majorHAnsi" w:cstheme="majorHAnsi"/>
                <w:color w:val="000000"/>
              </w:rPr>
              <w:t>0.</w:t>
            </w:r>
            <w:r w:rsidR="00B80628">
              <w:rPr>
                <w:rFonts w:asciiTheme="majorHAnsi" w:hAnsiTheme="majorHAnsi" w:cstheme="majorHAnsi"/>
                <w:color w:val="000000"/>
              </w:rPr>
              <w:t>15</w:t>
            </w:r>
            <w:r w:rsidRPr="004A74B6">
              <w:rPr>
                <w:rFonts w:asciiTheme="majorHAnsi" w:hAnsiTheme="majorHAnsi" w:cstheme="majorHAnsi"/>
                <w:color w:val="000000"/>
              </w:rPr>
              <w:t>%</w:t>
            </w:r>
          </w:p>
        </w:tc>
      </w:tr>
      <w:tr w:rsidR="00F73E77" w:rsidRPr="00847A5D" w14:paraId="0416B0D5"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tcPr>
          <w:p w14:paraId="0E481B4D" w14:textId="431B8027" w:rsidR="00F73E77" w:rsidRPr="004A74B6" w:rsidRDefault="00F73E77" w:rsidP="00D05D65">
            <w:pPr>
              <w:rPr>
                <w:rFonts w:asciiTheme="majorHAnsi" w:hAnsiTheme="majorHAnsi" w:cstheme="majorHAnsi"/>
                <w:lang w:val="en-GB"/>
              </w:rPr>
            </w:pPr>
            <w:r w:rsidRPr="004A74B6">
              <w:rPr>
                <w:rFonts w:asciiTheme="majorHAnsi" w:hAnsiTheme="majorHAnsi" w:cstheme="majorHAnsi"/>
                <w:lang w:val="en-GB"/>
              </w:rPr>
              <w:t>Clerical Medical Far Eastern Fund</w:t>
            </w:r>
          </w:p>
        </w:tc>
        <w:tc>
          <w:tcPr>
            <w:tcW w:w="2489" w:type="dxa"/>
          </w:tcPr>
          <w:p w14:paraId="7F4C1596" w14:textId="20684B80" w:rsidR="00F73E77" w:rsidRPr="004A74B6" w:rsidRDefault="00F73E77" w:rsidP="00D05D65">
            <w:pPr>
              <w:jc w:val="center"/>
              <w:rPr>
                <w:rFonts w:asciiTheme="majorHAnsi" w:hAnsiTheme="majorHAnsi" w:cstheme="majorHAnsi"/>
                <w:lang w:val="en-GB"/>
              </w:rPr>
            </w:pPr>
            <w:r w:rsidRPr="004A74B6">
              <w:rPr>
                <w:rFonts w:asciiTheme="majorHAnsi" w:hAnsiTheme="majorHAnsi" w:cstheme="majorHAnsi"/>
                <w:lang w:val="en-GB"/>
              </w:rPr>
              <w:t>0.495%</w:t>
            </w:r>
          </w:p>
        </w:tc>
        <w:tc>
          <w:tcPr>
            <w:tcW w:w="3182" w:type="dxa"/>
          </w:tcPr>
          <w:p w14:paraId="24E519AC" w14:textId="3BFD22F2" w:rsidR="00F73E77" w:rsidRPr="004A74B6" w:rsidRDefault="00F73E77" w:rsidP="00D05D65">
            <w:pPr>
              <w:jc w:val="center"/>
              <w:rPr>
                <w:rFonts w:asciiTheme="majorHAnsi" w:hAnsiTheme="majorHAnsi" w:cstheme="majorHAnsi"/>
                <w:color w:val="000000"/>
              </w:rPr>
            </w:pPr>
            <w:r w:rsidRPr="004A74B6">
              <w:rPr>
                <w:rFonts w:asciiTheme="majorHAnsi" w:hAnsiTheme="majorHAnsi" w:cstheme="majorHAnsi"/>
                <w:color w:val="000000"/>
              </w:rPr>
              <w:t>0.</w:t>
            </w:r>
            <w:r w:rsidR="00B80628">
              <w:rPr>
                <w:rFonts w:asciiTheme="majorHAnsi" w:hAnsiTheme="majorHAnsi" w:cstheme="majorHAnsi"/>
                <w:color w:val="000000"/>
              </w:rPr>
              <w:t>55</w:t>
            </w:r>
            <w:r w:rsidRPr="004A74B6">
              <w:rPr>
                <w:rFonts w:asciiTheme="majorHAnsi" w:hAnsiTheme="majorHAnsi" w:cstheme="majorHAnsi"/>
                <w:color w:val="000000"/>
              </w:rPr>
              <w:t>%</w:t>
            </w:r>
          </w:p>
        </w:tc>
      </w:tr>
      <w:tr w:rsidR="00F73E77" w:rsidRPr="00847A5D" w14:paraId="2FCE118C"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tcPr>
          <w:p w14:paraId="39EC2EF8" w14:textId="6A334D27" w:rsidR="00F73E77" w:rsidRPr="004A74B6" w:rsidRDefault="00F73E77" w:rsidP="00D05D65">
            <w:pPr>
              <w:rPr>
                <w:rFonts w:asciiTheme="majorHAnsi" w:hAnsiTheme="majorHAnsi" w:cstheme="majorHAnsi"/>
                <w:lang w:val="en-GB"/>
              </w:rPr>
            </w:pPr>
            <w:r w:rsidRPr="004A74B6">
              <w:rPr>
                <w:rFonts w:asciiTheme="majorHAnsi" w:hAnsiTheme="majorHAnsi" w:cstheme="majorHAnsi"/>
                <w:lang w:val="en-GB"/>
              </w:rPr>
              <w:t>Clerical Medical UK Property Fund</w:t>
            </w:r>
          </w:p>
        </w:tc>
        <w:tc>
          <w:tcPr>
            <w:tcW w:w="2489" w:type="dxa"/>
          </w:tcPr>
          <w:p w14:paraId="34D2A34E" w14:textId="5C2534FB" w:rsidR="00F73E77" w:rsidRPr="004A74B6" w:rsidRDefault="00F73E77" w:rsidP="00D05D65">
            <w:pPr>
              <w:jc w:val="center"/>
              <w:rPr>
                <w:rFonts w:asciiTheme="majorHAnsi" w:hAnsiTheme="majorHAnsi" w:cstheme="majorHAnsi"/>
                <w:lang w:val="en-GB"/>
              </w:rPr>
            </w:pPr>
            <w:r w:rsidRPr="004A74B6">
              <w:rPr>
                <w:rFonts w:asciiTheme="majorHAnsi" w:hAnsiTheme="majorHAnsi" w:cstheme="majorHAnsi"/>
                <w:lang w:val="en-GB"/>
              </w:rPr>
              <w:t>0.495%</w:t>
            </w:r>
          </w:p>
        </w:tc>
        <w:tc>
          <w:tcPr>
            <w:tcW w:w="3182" w:type="dxa"/>
          </w:tcPr>
          <w:p w14:paraId="0FCFBE8E" w14:textId="79326F82" w:rsidR="00F73E77" w:rsidRPr="004A74B6" w:rsidRDefault="00F73E77" w:rsidP="00D05D65">
            <w:pPr>
              <w:jc w:val="center"/>
              <w:rPr>
                <w:rFonts w:asciiTheme="majorHAnsi" w:hAnsiTheme="majorHAnsi" w:cstheme="majorHAnsi"/>
                <w:color w:val="000000"/>
              </w:rPr>
            </w:pPr>
            <w:r w:rsidRPr="004A74B6">
              <w:rPr>
                <w:rFonts w:asciiTheme="majorHAnsi" w:hAnsiTheme="majorHAnsi" w:cstheme="majorHAnsi"/>
                <w:color w:val="000000"/>
              </w:rPr>
              <w:t>0.</w:t>
            </w:r>
            <w:r w:rsidR="00B80628">
              <w:rPr>
                <w:rFonts w:asciiTheme="majorHAnsi" w:hAnsiTheme="majorHAnsi" w:cstheme="majorHAnsi"/>
                <w:color w:val="000000"/>
              </w:rPr>
              <w:t>07</w:t>
            </w:r>
            <w:r w:rsidRPr="004A74B6">
              <w:rPr>
                <w:rFonts w:asciiTheme="majorHAnsi" w:hAnsiTheme="majorHAnsi" w:cstheme="majorHAnsi"/>
                <w:color w:val="000000"/>
              </w:rPr>
              <w:t>%</w:t>
            </w:r>
          </w:p>
        </w:tc>
      </w:tr>
      <w:tr w:rsidR="00D05D65" w:rsidRPr="00847A5D" w14:paraId="6C68727B"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1F258323" w14:textId="0EAEC045"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Global Equity</w:t>
            </w:r>
          </w:p>
        </w:tc>
        <w:tc>
          <w:tcPr>
            <w:tcW w:w="2489" w:type="dxa"/>
          </w:tcPr>
          <w:p w14:paraId="7D24A7FC" w14:textId="1EECC703" w:rsidR="00D05D65" w:rsidRPr="004A74B6" w:rsidRDefault="00C84B3C" w:rsidP="00D05D65">
            <w:pPr>
              <w:jc w:val="center"/>
              <w:rPr>
                <w:rFonts w:asciiTheme="majorHAnsi" w:hAnsiTheme="majorHAnsi" w:cstheme="majorHAnsi"/>
                <w:lang w:val="en-GB"/>
              </w:rPr>
            </w:pPr>
            <w:r>
              <w:rPr>
                <w:rFonts w:asciiTheme="majorHAnsi" w:hAnsiTheme="majorHAnsi" w:cstheme="majorHAnsi"/>
                <w:lang w:val="en-GB"/>
              </w:rPr>
              <w:t>0.7</w:t>
            </w:r>
            <w:r w:rsidR="00E8279C">
              <w:rPr>
                <w:rFonts w:asciiTheme="majorHAnsi" w:hAnsiTheme="majorHAnsi" w:cstheme="majorHAnsi"/>
                <w:lang w:val="en-GB"/>
              </w:rPr>
              <w:t>7</w:t>
            </w:r>
            <w:r>
              <w:rPr>
                <w:rFonts w:asciiTheme="majorHAnsi" w:hAnsiTheme="majorHAnsi" w:cstheme="majorHAnsi"/>
                <w:lang w:val="en-GB"/>
              </w:rPr>
              <w:t>%</w:t>
            </w:r>
          </w:p>
        </w:tc>
        <w:tc>
          <w:tcPr>
            <w:tcW w:w="3182" w:type="dxa"/>
          </w:tcPr>
          <w:p w14:paraId="024D5953" w14:textId="7C9B906F"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w:t>
            </w:r>
            <w:r w:rsidR="00E02B6E">
              <w:rPr>
                <w:rFonts w:asciiTheme="majorHAnsi" w:hAnsiTheme="majorHAnsi" w:cstheme="majorHAnsi"/>
                <w:color w:val="000000"/>
              </w:rPr>
              <w:t>11</w:t>
            </w:r>
            <w:r>
              <w:rPr>
                <w:rFonts w:asciiTheme="majorHAnsi" w:hAnsiTheme="majorHAnsi" w:cstheme="majorHAnsi"/>
                <w:color w:val="000000"/>
              </w:rPr>
              <w:t>%</w:t>
            </w:r>
          </w:p>
        </w:tc>
      </w:tr>
      <w:tr w:rsidR="00D05D65" w:rsidRPr="00847A5D" w14:paraId="06E3768A"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310DBA91" w14:textId="6112CA77"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Dynamic Global Equity Passive</w:t>
            </w:r>
          </w:p>
        </w:tc>
        <w:tc>
          <w:tcPr>
            <w:tcW w:w="2489" w:type="dxa"/>
          </w:tcPr>
          <w:p w14:paraId="76BB211E" w14:textId="268D10E5" w:rsidR="00D05D65" w:rsidRPr="004A74B6" w:rsidRDefault="00C84B3C" w:rsidP="00D05D65">
            <w:pPr>
              <w:jc w:val="center"/>
              <w:rPr>
                <w:rFonts w:asciiTheme="majorHAnsi" w:hAnsiTheme="majorHAnsi" w:cstheme="majorHAnsi"/>
                <w:lang w:val="en-GB"/>
              </w:rPr>
            </w:pPr>
            <w:r>
              <w:rPr>
                <w:rFonts w:asciiTheme="majorHAnsi" w:hAnsiTheme="majorHAnsi" w:cstheme="majorHAnsi"/>
                <w:lang w:val="en-GB"/>
              </w:rPr>
              <w:t>0.64%</w:t>
            </w:r>
          </w:p>
        </w:tc>
        <w:tc>
          <w:tcPr>
            <w:tcW w:w="3182" w:type="dxa"/>
          </w:tcPr>
          <w:p w14:paraId="03F270F1" w14:textId="7700E410"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0.0</w:t>
            </w:r>
            <w:r w:rsidR="00E02B6E">
              <w:rPr>
                <w:rFonts w:asciiTheme="majorHAnsi" w:hAnsiTheme="majorHAnsi" w:cstheme="majorHAnsi"/>
                <w:color w:val="000000"/>
              </w:rPr>
              <w:t>4</w:t>
            </w:r>
            <w:r>
              <w:rPr>
                <w:rFonts w:asciiTheme="majorHAnsi" w:hAnsiTheme="majorHAnsi" w:cstheme="majorHAnsi"/>
                <w:color w:val="000000"/>
              </w:rPr>
              <w:t>%</w:t>
            </w:r>
          </w:p>
        </w:tc>
      </w:tr>
      <w:tr w:rsidR="00D05D65" w:rsidRPr="00847A5D" w14:paraId="2ADC4221"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204A5DE7" w14:textId="28EE284D"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S3 Discretionary Pen</w:t>
            </w:r>
          </w:p>
        </w:tc>
        <w:tc>
          <w:tcPr>
            <w:tcW w:w="2489" w:type="dxa"/>
          </w:tcPr>
          <w:p w14:paraId="60013943" w14:textId="783A2FD2" w:rsidR="00D05D65" w:rsidRPr="004A74B6" w:rsidRDefault="00C84B3C" w:rsidP="00D05D65">
            <w:pPr>
              <w:jc w:val="center"/>
              <w:rPr>
                <w:rFonts w:asciiTheme="majorHAnsi" w:hAnsiTheme="majorHAnsi" w:cstheme="majorHAnsi"/>
                <w:lang w:val="en-GB"/>
              </w:rPr>
            </w:pPr>
            <w:r>
              <w:rPr>
                <w:rFonts w:asciiTheme="majorHAnsi" w:hAnsiTheme="majorHAnsi" w:cstheme="majorHAnsi"/>
                <w:lang w:val="en-GB"/>
              </w:rPr>
              <w:t>0.</w:t>
            </w:r>
            <w:r w:rsidR="005369D5">
              <w:rPr>
                <w:rFonts w:asciiTheme="majorHAnsi" w:hAnsiTheme="majorHAnsi" w:cstheme="majorHAnsi"/>
                <w:lang w:val="en-GB"/>
              </w:rPr>
              <w:t>80</w:t>
            </w:r>
            <w:r>
              <w:rPr>
                <w:rFonts w:asciiTheme="majorHAnsi" w:hAnsiTheme="majorHAnsi" w:cstheme="majorHAnsi"/>
                <w:lang w:val="en-GB"/>
              </w:rPr>
              <w:t>%</w:t>
            </w:r>
          </w:p>
        </w:tc>
        <w:tc>
          <w:tcPr>
            <w:tcW w:w="3182" w:type="dxa"/>
          </w:tcPr>
          <w:p w14:paraId="29FEB115" w14:textId="6B498EC9"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w:t>
            </w:r>
            <w:r w:rsidR="00E02B6E">
              <w:rPr>
                <w:rFonts w:asciiTheme="majorHAnsi" w:hAnsiTheme="majorHAnsi" w:cstheme="majorHAnsi"/>
                <w:color w:val="000000"/>
              </w:rPr>
              <w:t>1</w:t>
            </w:r>
            <w:r>
              <w:rPr>
                <w:rFonts w:asciiTheme="majorHAnsi" w:hAnsiTheme="majorHAnsi" w:cstheme="majorHAnsi"/>
                <w:color w:val="000000"/>
              </w:rPr>
              <w:t>5%</w:t>
            </w:r>
          </w:p>
        </w:tc>
      </w:tr>
      <w:tr w:rsidR="00D05D65" w:rsidRPr="00847A5D" w14:paraId="4F6AFF94"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6B33F8BE" w14:textId="538CC91E"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UK Equity</w:t>
            </w:r>
          </w:p>
        </w:tc>
        <w:tc>
          <w:tcPr>
            <w:tcW w:w="2489" w:type="dxa"/>
          </w:tcPr>
          <w:p w14:paraId="43DA6EC2" w14:textId="7FF7ACD4"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6</w:t>
            </w:r>
            <w:r>
              <w:rPr>
                <w:rFonts w:asciiTheme="majorHAnsi" w:hAnsiTheme="majorHAnsi" w:cstheme="majorHAnsi"/>
                <w:lang w:val="en-GB"/>
              </w:rPr>
              <w:t>%</w:t>
            </w:r>
          </w:p>
        </w:tc>
        <w:tc>
          <w:tcPr>
            <w:tcW w:w="3182" w:type="dxa"/>
          </w:tcPr>
          <w:p w14:paraId="2DD7EB4F" w14:textId="5BAE2BF0"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0.0</w:t>
            </w:r>
            <w:r w:rsidR="00E02B6E">
              <w:rPr>
                <w:rFonts w:asciiTheme="majorHAnsi" w:hAnsiTheme="majorHAnsi" w:cstheme="majorHAnsi"/>
                <w:color w:val="000000"/>
              </w:rPr>
              <w:t>5</w:t>
            </w:r>
            <w:r>
              <w:rPr>
                <w:rFonts w:asciiTheme="majorHAnsi" w:hAnsiTheme="majorHAnsi" w:cstheme="majorHAnsi"/>
                <w:color w:val="000000"/>
              </w:rPr>
              <w:t>%</w:t>
            </w:r>
          </w:p>
        </w:tc>
      </w:tr>
      <w:tr w:rsidR="00D05D65" w:rsidRPr="00847A5D" w14:paraId="0A0AA5FD"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541257AA" w14:textId="5B0C781C"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Cash</w:t>
            </w:r>
          </w:p>
        </w:tc>
        <w:tc>
          <w:tcPr>
            <w:tcW w:w="2489" w:type="dxa"/>
          </w:tcPr>
          <w:p w14:paraId="5EB9E920" w14:textId="25D976F4"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0.55%</w:t>
            </w:r>
          </w:p>
        </w:tc>
        <w:tc>
          <w:tcPr>
            <w:tcW w:w="3182" w:type="dxa"/>
          </w:tcPr>
          <w:p w14:paraId="1D315EB2" w14:textId="05A2857C"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0.00%</w:t>
            </w:r>
          </w:p>
        </w:tc>
      </w:tr>
      <w:tr w:rsidR="00D05D65" w:rsidRPr="00847A5D" w14:paraId="0EE726E7"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5F16C437" w14:textId="0868BFD0"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lastRenderedPageBreak/>
              <w:t>Prudential Index-Linked</w:t>
            </w:r>
          </w:p>
        </w:tc>
        <w:tc>
          <w:tcPr>
            <w:tcW w:w="2489" w:type="dxa"/>
          </w:tcPr>
          <w:p w14:paraId="07724D19" w14:textId="43D877D2"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6</w:t>
            </w:r>
            <w:r>
              <w:rPr>
                <w:rFonts w:asciiTheme="majorHAnsi" w:hAnsiTheme="majorHAnsi" w:cstheme="majorHAnsi"/>
                <w:lang w:val="en-GB"/>
              </w:rPr>
              <w:t>%</w:t>
            </w:r>
          </w:p>
        </w:tc>
        <w:tc>
          <w:tcPr>
            <w:tcW w:w="3182" w:type="dxa"/>
          </w:tcPr>
          <w:p w14:paraId="470466C3" w14:textId="6A4DB1FF"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w:t>
            </w:r>
            <w:r w:rsidR="00E02B6E">
              <w:rPr>
                <w:rFonts w:asciiTheme="majorHAnsi" w:hAnsiTheme="majorHAnsi" w:cstheme="majorHAnsi"/>
                <w:color w:val="000000"/>
              </w:rPr>
              <w:t>23</w:t>
            </w:r>
            <w:r>
              <w:rPr>
                <w:rFonts w:asciiTheme="majorHAnsi" w:hAnsiTheme="majorHAnsi" w:cstheme="majorHAnsi"/>
                <w:color w:val="000000"/>
              </w:rPr>
              <w:t>%</w:t>
            </w:r>
          </w:p>
        </w:tc>
      </w:tr>
      <w:tr w:rsidR="00D05D65" w:rsidRPr="00847A5D" w14:paraId="1EACEC7F"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7C8A9AFA" w14:textId="359348C8"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S3 Long-Term Gilt Passive Pen</w:t>
            </w:r>
          </w:p>
        </w:tc>
        <w:tc>
          <w:tcPr>
            <w:tcW w:w="2489" w:type="dxa"/>
          </w:tcPr>
          <w:p w14:paraId="6C685E15" w14:textId="41B278D3"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0.6</w:t>
            </w:r>
            <w:r w:rsidR="005369D5">
              <w:rPr>
                <w:rFonts w:asciiTheme="majorHAnsi" w:hAnsiTheme="majorHAnsi" w:cstheme="majorHAnsi"/>
                <w:lang w:val="en-GB"/>
              </w:rPr>
              <w:t>6</w:t>
            </w:r>
            <w:r>
              <w:rPr>
                <w:rFonts w:asciiTheme="majorHAnsi" w:hAnsiTheme="majorHAnsi" w:cstheme="majorHAnsi"/>
                <w:lang w:val="en-GB"/>
              </w:rPr>
              <w:t>%</w:t>
            </w:r>
          </w:p>
        </w:tc>
        <w:tc>
          <w:tcPr>
            <w:tcW w:w="3182" w:type="dxa"/>
          </w:tcPr>
          <w:p w14:paraId="7AEE2FCE" w14:textId="0F72FDAF"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0.00%</w:t>
            </w:r>
          </w:p>
        </w:tc>
      </w:tr>
      <w:tr w:rsidR="00D05D65" w:rsidRPr="00847A5D" w14:paraId="5CB3FC8A"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3E53F73C" w14:textId="6E5BFFAA"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International Equity</w:t>
            </w:r>
          </w:p>
        </w:tc>
        <w:tc>
          <w:tcPr>
            <w:tcW w:w="2489" w:type="dxa"/>
          </w:tcPr>
          <w:p w14:paraId="36409389" w14:textId="76D213C9"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9</w:t>
            </w:r>
            <w:r>
              <w:rPr>
                <w:rFonts w:asciiTheme="majorHAnsi" w:hAnsiTheme="majorHAnsi" w:cstheme="majorHAnsi"/>
                <w:lang w:val="en-GB"/>
              </w:rPr>
              <w:t>%</w:t>
            </w:r>
          </w:p>
        </w:tc>
        <w:tc>
          <w:tcPr>
            <w:tcW w:w="3182" w:type="dxa"/>
          </w:tcPr>
          <w:p w14:paraId="6668C755" w14:textId="6F0CB924"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w:t>
            </w:r>
            <w:r w:rsidR="00E02B6E">
              <w:rPr>
                <w:rFonts w:asciiTheme="majorHAnsi" w:hAnsiTheme="majorHAnsi" w:cstheme="majorHAnsi"/>
                <w:color w:val="000000"/>
              </w:rPr>
              <w:t>23</w:t>
            </w:r>
            <w:r>
              <w:rPr>
                <w:rFonts w:asciiTheme="majorHAnsi" w:hAnsiTheme="majorHAnsi" w:cstheme="majorHAnsi"/>
                <w:color w:val="000000"/>
              </w:rPr>
              <w:t>%</w:t>
            </w:r>
          </w:p>
        </w:tc>
      </w:tr>
      <w:tr w:rsidR="00D05D65" w:rsidRPr="00847A5D" w14:paraId="0131B337"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1FE21DB8" w14:textId="5A6C02E2"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Positive Impact</w:t>
            </w:r>
          </w:p>
        </w:tc>
        <w:tc>
          <w:tcPr>
            <w:tcW w:w="2489" w:type="dxa"/>
          </w:tcPr>
          <w:p w14:paraId="409ACD4C" w14:textId="562786CC"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6</w:t>
            </w:r>
            <w:r>
              <w:rPr>
                <w:rFonts w:asciiTheme="majorHAnsi" w:hAnsiTheme="majorHAnsi" w:cstheme="majorHAnsi"/>
                <w:lang w:val="en-GB"/>
              </w:rPr>
              <w:t>%</w:t>
            </w:r>
          </w:p>
        </w:tc>
        <w:tc>
          <w:tcPr>
            <w:tcW w:w="3182" w:type="dxa"/>
          </w:tcPr>
          <w:p w14:paraId="0DC2B1F5" w14:textId="456B2F87" w:rsidR="00D05D65" w:rsidRPr="004A74B6" w:rsidRDefault="00D05D65" w:rsidP="00D05D65">
            <w:pPr>
              <w:jc w:val="center"/>
              <w:rPr>
                <w:rFonts w:asciiTheme="majorHAnsi" w:hAnsiTheme="majorHAnsi" w:cstheme="majorHAnsi"/>
                <w:color w:val="000000"/>
              </w:rPr>
            </w:pPr>
            <w:r>
              <w:rPr>
                <w:rFonts w:asciiTheme="majorHAnsi" w:hAnsiTheme="majorHAnsi" w:cstheme="majorHAnsi"/>
                <w:color w:val="000000"/>
              </w:rPr>
              <w:t>0.0</w:t>
            </w:r>
            <w:r w:rsidR="00E02B6E">
              <w:rPr>
                <w:rFonts w:asciiTheme="majorHAnsi" w:hAnsiTheme="majorHAnsi" w:cstheme="majorHAnsi"/>
                <w:color w:val="000000"/>
              </w:rPr>
              <w:t>6</w:t>
            </w:r>
            <w:r>
              <w:rPr>
                <w:rFonts w:asciiTheme="majorHAnsi" w:hAnsiTheme="majorHAnsi" w:cstheme="majorHAnsi"/>
                <w:color w:val="000000"/>
              </w:rPr>
              <w:t>%</w:t>
            </w:r>
          </w:p>
        </w:tc>
      </w:tr>
      <w:tr w:rsidR="00D05D65" w:rsidRPr="00847A5D" w14:paraId="630817C6"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203C63C0" w14:textId="3C0B2BB4"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With-Profits Cash Accumulation Fund</w:t>
            </w:r>
          </w:p>
        </w:tc>
        <w:tc>
          <w:tcPr>
            <w:tcW w:w="2489" w:type="dxa"/>
          </w:tcPr>
          <w:p w14:paraId="47CB76DB" w14:textId="1398742E" w:rsidR="00D05D65" w:rsidRPr="004A74B6" w:rsidRDefault="00E02B6E" w:rsidP="00D05D65">
            <w:pPr>
              <w:jc w:val="center"/>
              <w:rPr>
                <w:rFonts w:asciiTheme="majorHAnsi" w:hAnsiTheme="majorHAnsi" w:cstheme="majorHAnsi"/>
                <w:lang w:val="en-GB"/>
              </w:rPr>
            </w:pPr>
            <w:r>
              <w:rPr>
                <w:rFonts w:asciiTheme="majorHAnsi" w:hAnsiTheme="majorHAnsi" w:cstheme="majorHAnsi"/>
                <w:lang w:val="en-GB"/>
              </w:rPr>
              <w:t>-</w:t>
            </w:r>
          </w:p>
        </w:tc>
        <w:tc>
          <w:tcPr>
            <w:tcW w:w="3182" w:type="dxa"/>
          </w:tcPr>
          <w:p w14:paraId="639B974C" w14:textId="5AADCFBE" w:rsidR="00D05D65" w:rsidRPr="004A74B6" w:rsidRDefault="00E02B6E" w:rsidP="00D05D65">
            <w:pPr>
              <w:jc w:val="center"/>
              <w:rPr>
                <w:rFonts w:asciiTheme="majorHAnsi" w:hAnsiTheme="majorHAnsi" w:cstheme="majorHAnsi"/>
                <w:color w:val="000000"/>
              </w:rPr>
            </w:pPr>
            <w:r>
              <w:rPr>
                <w:rFonts w:asciiTheme="majorHAnsi" w:hAnsiTheme="majorHAnsi" w:cstheme="majorHAnsi"/>
                <w:color w:val="000000"/>
              </w:rPr>
              <w:t>0.20%</w:t>
            </w:r>
          </w:p>
        </w:tc>
      </w:tr>
      <w:tr w:rsidR="00D05D65" w:rsidRPr="00847A5D" w14:paraId="77C92261"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5AA6F3EE" w14:textId="27EDD5F2"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Fixed Interest</w:t>
            </w:r>
          </w:p>
        </w:tc>
        <w:tc>
          <w:tcPr>
            <w:tcW w:w="2489" w:type="dxa"/>
          </w:tcPr>
          <w:p w14:paraId="51E8D6EA" w14:textId="59078D5B"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6</w:t>
            </w:r>
            <w:r>
              <w:rPr>
                <w:rFonts w:asciiTheme="majorHAnsi" w:hAnsiTheme="majorHAnsi" w:cstheme="majorHAnsi"/>
                <w:lang w:val="en-GB"/>
              </w:rPr>
              <w:t>%</w:t>
            </w:r>
          </w:p>
        </w:tc>
        <w:tc>
          <w:tcPr>
            <w:tcW w:w="3182" w:type="dxa"/>
          </w:tcPr>
          <w:p w14:paraId="6C89A699" w14:textId="11C6B407" w:rsidR="00D05D65" w:rsidRPr="004A74B6" w:rsidRDefault="00E02B6E" w:rsidP="00D05D65">
            <w:pPr>
              <w:jc w:val="center"/>
              <w:rPr>
                <w:rFonts w:asciiTheme="majorHAnsi" w:hAnsiTheme="majorHAnsi" w:cstheme="majorHAnsi"/>
                <w:color w:val="000000"/>
              </w:rPr>
            </w:pPr>
            <w:r>
              <w:rPr>
                <w:rFonts w:asciiTheme="majorHAnsi" w:hAnsiTheme="majorHAnsi" w:cstheme="majorHAnsi"/>
                <w:color w:val="000000"/>
              </w:rPr>
              <w:t>-</w:t>
            </w:r>
            <w:r w:rsidR="00C04F67">
              <w:rPr>
                <w:rFonts w:asciiTheme="majorHAnsi" w:hAnsiTheme="majorHAnsi" w:cstheme="majorHAnsi"/>
                <w:color w:val="000000"/>
              </w:rPr>
              <w:t>0.</w:t>
            </w:r>
            <w:r>
              <w:rPr>
                <w:rFonts w:asciiTheme="majorHAnsi" w:hAnsiTheme="majorHAnsi" w:cstheme="majorHAnsi"/>
                <w:color w:val="000000"/>
              </w:rPr>
              <w:t>05</w:t>
            </w:r>
            <w:r w:rsidR="00C04F67">
              <w:rPr>
                <w:rFonts w:asciiTheme="majorHAnsi" w:hAnsiTheme="majorHAnsi" w:cstheme="majorHAnsi"/>
                <w:color w:val="000000"/>
              </w:rPr>
              <w:t>%</w:t>
            </w:r>
          </w:p>
        </w:tc>
      </w:tr>
      <w:tr w:rsidR="00D05D65" w:rsidRPr="00847A5D" w14:paraId="14C9CE71"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68F7FADD" w14:textId="6A355FE1"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Baillie Gifford Diversified Growth</w:t>
            </w:r>
          </w:p>
        </w:tc>
        <w:tc>
          <w:tcPr>
            <w:tcW w:w="2489" w:type="dxa"/>
          </w:tcPr>
          <w:p w14:paraId="0C5FEAB9" w14:textId="0EF52D77"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1.</w:t>
            </w:r>
            <w:r w:rsidR="005369D5">
              <w:rPr>
                <w:rFonts w:asciiTheme="majorHAnsi" w:hAnsiTheme="majorHAnsi" w:cstheme="majorHAnsi"/>
                <w:lang w:val="en-GB"/>
              </w:rPr>
              <w:t>1</w:t>
            </w:r>
            <w:r>
              <w:rPr>
                <w:rFonts w:asciiTheme="majorHAnsi" w:hAnsiTheme="majorHAnsi" w:cstheme="majorHAnsi"/>
                <w:lang w:val="en-GB"/>
              </w:rPr>
              <w:t>5%</w:t>
            </w:r>
          </w:p>
        </w:tc>
        <w:tc>
          <w:tcPr>
            <w:tcW w:w="3182" w:type="dxa"/>
          </w:tcPr>
          <w:p w14:paraId="56BC670A" w14:textId="6EDDD531" w:rsidR="00D05D65" w:rsidRPr="004A74B6" w:rsidRDefault="00C04F67" w:rsidP="00D05D65">
            <w:pPr>
              <w:jc w:val="center"/>
              <w:rPr>
                <w:rFonts w:asciiTheme="majorHAnsi" w:hAnsiTheme="majorHAnsi" w:cstheme="majorHAnsi"/>
                <w:color w:val="000000"/>
              </w:rPr>
            </w:pPr>
            <w:r>
              <w:rPr>
                <w:rFonts w:asciiTheme="majorHAnsi" w:hAnsiTheme="majorHAnsi" w:cstheme="majorHAnsi"/>
                <w:color w:val="000000"/>
              </w:rPr>
              <w:t>0.</w:t>
            </w:r>
            <w:r w:rsidR="00E02B6E">
              <w:rPr>
                <w:rFonts w:asciiTheme="majorHAnsi" w:hAnsiTheme="majorHAnsi" w:cstheme="majorHAnsi"/>
                <w:color w:val="000000"/>
              </w:rPr>
              <w:t>60</w:t>
            </w:r>
            <w:r>
              <w:rPr>
                <w:rFonts w:asciiTheme="majorHAnsi" w:hAnsiTheme="majorHAnsi" w:cstheme="majorHAnsi"/>
                <w:color w:val="000000"/>
              </w:rPr>
              <w:t>%</w:t>
            </w:r>
          </w:p>
        </w:tc>
      </w:tr>
      <w:tr w:rsidR="00D05D65" w:rsidRPr="00847A5D" w14:paraId="7378FCC7"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391B9781" w14:textId="1CAC3912"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All Stocks Corporate Bond</w:t>
            </w:r>
          </w:p>
        </w:tc>
        <w:tc>
          <w:tcPr>
            <w:tcW w:w="2489" w:type="dxa"/>
          </w:tcPr>
          <w:p w14:paraId="728FFB03" w14:textId="4F48A406"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6</w:t>
            </w:r>
            <w:r>
              <w:rPr>
                <w:rFonts w:asciiTheme="majorHAnsi" w:hAnsiTheme="majorHAnsi" w:cstheme="majorHAnsi"/>
                <w:lang w:val="en-GB"/>
              </w:rPr>
              <w:t>%</w:t>
            </w:r>
          </w:p>
        </w:tc>
        <w:tc>
          <w:tcPr>
            <w:tcW w:w="3182" w:type="dxa"/>
          </w:tcPr>
          <w:p w14:paraId="189DA96A" w14:textId="30C95153" w:rsidR="00D05D65" w:rsidRPr="004A74B6" w:rsidRDefault="00C04F67" w:rsidP="00D05D65">
            <w:pPr>
              <w:jc w:val="center"/>
              <w:rPr>
                <w:rFonts w:asciiTheme="majorHAnsi" w:hAnsiTheme="majorHAnsi" w:cstheme="majorHAnsi"/>
                <w:color w:val="000000"/>
              </w:rPr>
            </w:pPr>
            <w:r>
              <w:rPr>
                <w:rFonts w:asciiTheme="majorHAnsi" w:hAnsiTheme="majorHAnsi" w:cstheme="majorHAnsi"/>
                <w:color w:val="000000"/>
              </w:rPr>
              <w:t>0.0</w:t>
            </w:r>
            <w:r w:rsidR="00E02B6E">
              <w:rPr>
                <w:rFonts w:asciiTheme="majorHAnsi" w:hAnsiTheme="majorHAnsi" w:cstheme="majorHAnsi"/>
                <w:color w:val="000000"/>
              </w:rPr>
              <w:t>3</w:t>
            </w:r>
            <w:r>
              <w:rPr>
                <w:rFonts w:asciiTheme="majorHAnsi" w:hAnsiTheme="majorHAnsi" w:cstheme="majorHAnsi"/>
                <w:color w:val="000000"/>
              </w:rPr>
              <w:t>%</w:t>
            </w:r>
          </w:p>
        </w:tc>
      </w:tr>
      <w:tr w:rsidR="00D05D65" w:rsidRPr="00847A5D" w14:paraId="779818A5"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1D5ABA56" w14:textId="16162475"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BlackRock Aquila World ex-UK Equity Index</w:t>
            </w:r>
          </w:p>
        </w:tc>
        <w:tc>
          <w:tcPr>
            <w:tcW w:w="2489" w:type="dxa"/>
          </w:tcPr>
          <w:p w14:paraId="3CAB3588" w14:textId="36419A25"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3</w:t>
            </w:r>
            <w:r>
              <w:rPr>
                <w:rFonts w:asciiTheme="majorHAnsi" w:hAnsiTheme="majorHAnsi" w:cstheme="majorHAnsi"/>
                <w:lang w:val="en-GB"/>
              </w:rPr>
              <w:t>%</w:t>
            </w:r>
          </w:p>
        </w:tc>
        <w:tc>
          <w:tcPr>
            <w:tcW w:w="3182" w:type="dxa"/>
          </w:tcPr>
          <w:p w14:paraId="0F317667" w14:textId="0DC351BD" w:rsidR="00D05D65" w:rsidRPr="004A74B6" w:rsidRDefault="00E02B6E" w:rsidP="00D05D65">
            <w:pPr>
              <w:jc w:val="center"/>
              <w:rPr>
                <w:rFonts w:asciiTheme="majorHAnsi" w:hAnsiTheme="majorHAnsi" w:cstheme="majorHAnsi"/>
                <w:color w:val="000000"/>
              </w:rPr>
            </w:pPr>
            <w:r>
              <w:rPr>
                <w:rFonts w:asciiTheme="majorHAnsi" w:hAnsiTheme="majorHAnsi" w:cstheme="majorHAnsi"/>
                <w:color w:val="000000"/>
              </w:rPr>
              <w:t>-</w:t>
            </w:r>
            <w:r w:rsidR="00C04F67">
              <w:rPr>
                <w:rFonts w:asciiTheme="majorHAnsi" w:hAnsiTheme="majorHAnsi" w:cstheme="majorHAnsi"/>
                <w:color w:val="000000"/>
              </w:rPr>
              <w:t>0.</w:t>
            </w:r>
            <w:r>
              <w:rPr>
                <w:rFonts w:asciiTheme="majorHAnsi" w:hAnsiTheme="majorHAnsi" w:cstheme="majorHAnsi"/>
                <w:color w:val="000000"/>
              </w:rPr>
              <w:t>01</w:t>
            </w:r>
            <w:r w:rsidR="00C04F67">
              <w:rPr>
                <w:rFonts w:asciiTheme="majorHAnsi" w:hAnsiTheme="majorHAnsi" w:cstheme="majorHAnsi"/>
                <w:color w:val="000000"/>
              </w:rPr>
              <w:t>%</w:t>
            </w:r>
          </w:p>
        </w:tc>
      </w:tr>
      <w:tr w:rsidR="00D05D65" w:rsidRPr="00847A5D" w14:paraId="08B11597"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73544221" w14:textId="6A8169D4"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Dynamic Growth II</w:t>
            </w:r>
          </w:p>
        </w:tc>
        <w:tc>
          <w:tcPr>
            <w:tcW w:w="2489" w:type="dxa"/>
          </w:tcPr>
          <w:p w14:paraId="0279DAD0" w14:textId="19238067"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3</w:t>
            </w:r>
            <w:r>
              <w:rPr>
                <w:rFonts w:asciiTheme="majorHAnsi" w:hAnsiTheme="majorHAnsi" w:cstheme="majorHAnsi"/>
                <w:lang w:val="en-GB"/>
              </w:rPr>
              <w:t>%</w:t>
            </w:r>
          </w:p>
        </w:tc>
        <w:tc>
          <w:tcPr>
            <w:tcW w:w="3182" w:type="dxa"/>
          </w:tcPr>
          <w:p w14:paraId="17CC038E" w14:textId="0201A080" w:rsidR="00D05D65" w:rsidRPr="004A74B6" w:rsidRDefault="00C04F67" w:rsidP="00D05D65">
            <w:pPr>
              <w:jc w:val="center"/>
              <w:rPr>
                <w:rFonts w:asciiTheme="majorHAnsi" w:hAnsiTheme="majorHAnsi" w:cstheme="majorHAnsi"/>
                <w:color w:val="000000"/>
              </w:rPr>
            </w:pPr>
            <w:r>
              <w:rPr>
                <w:rFonts w:asciiTheme="majorHAnsi" w:hAnsiTheme="majorHAnsi" w:cstheme="majorHAnsi"/>
                <w:color w:val="000000"/>
              </w:rPr>
              <w:t>0.0</w:t>
            </w:r>
            <w:r w:rsidR="00E02B6E">
              <w:rPr>
                <w:rFonts w:asciiTheme="majorHAnsi" w:hAnsiTheme="majorHAnsi" w:cstheme="majorHAnsi"/>
                <w:color w:val="000000"/>
              </w:rPr>
              <w:t>4</w:t>
            </w:r>
            <w:r>
              <w:rPr>
                <w:rFonts w:asciiTheme="majorHAnsi" w:hAnsiTheme="majorHAnsi" w:cstheme="majorHAnsi"/>
                <w:color w:val="000000"/>
              </w:rPr>
              <w:t>%</w:t>
            </w:r>
          </w:p>
        </w:tc>
      </w:tr>
      <w:tr w:rsidR="00D05D65" w:rsidRPr="00847A5D" w14:paraId="3CCCB27E" w14:textId="77777777" w:rsidTr="005369D5">
        <w:trPr>
          <w:cnfStyle w:val="000000100000" w:firstRow="0" w:lastRow="0" w:firstColumn="0" w:lastColumn="0" w:oddVBand="0" w:evenVBand="0" w:oddHBand="1" w:evenHBand="0" w:firstRowFirstColumn="0" w:firstRowLastColumn="0" w:lastRowFirstColumn="0" w:lastRowLastColumn="0"/>
        </w:trPr>
        <w:tc>
          <w:tcPr>
            <w:tcW w:w="3685" w:type="dxa"/>
            <w:vAlign w:val="bottom"/>
          </w:tcPr>
          <w:p w14:paraId="0489075F" w14:textId="01C5D53E"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Prudential Dynamic Growth IV</w:t>
            </w:r>
          </w:p>
        </w:tc>
        <w:tc>
          <w:tcPr>
            <w:tcW w:w="2489" w:type="dxa"/>
          </w:tcPr>
          <w:p w14:paraId="17EC8D0D" w14:textId="13770101"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0.7</w:t>
            </w:r>
            <w:r w:rsidR="005369D5">
              <w:rPr>
                <w:rFonts w:asciiTheme="majorHAnsi" w:hAnsiTheme="majorHAnsi" w:cstheme="majorHAnsi"/>
                <w:lang w:val="en-GB"/>
              </w:rPr>
              <w:t>3</w:t>
            </w:r>
            <w:r>
              <w:rPr>
                <w:rFonts w:asciiTheme="majorHAnsi" w:hAnsiTheme="majorHAnsi" w:cstheme="majorHAnsi"/>
                <w:lang w:val="en-GB"/>
              </w:rPr>
              <w:t>%</w:t>
            </w:r>
          </w:p>
        </w:tc>
        <w:tc>
          <w:tcPr>
            <w:tcW w:w="3182" w:type="dxa"/>
          </w:tcPr>
          <w:p w14:paraId="68EBE568" w14:textId="624C0B3B" w:rsidR="00D05D65" w:rsidRPr="004A74B6" w:rsidRDefault="00C04F67" w:rsidP="00D05D65">
            <w:pPr>
              <w:jc w:val="center"/>
              <w:rPr>
                <w:rFonts w:asciiTheme="majorHAnsi" w:hAnsiTheme="majorHAnsi" w:cstheme="majorHAnsi"/>
                <w:color w:val="000000"/>
              </w:rPr>
            </w:pPr>
            <w:r>
              <w:rPr>
                <w:rFonts w:asciiTheme="majorHAnsi" w:hAnsiTheme="majorHAnsi" w:cstheme="majorHAnsi"/>
                <w:color w:val="000000"/>
              </w:rPr>
              <w:t>0.04%</w:t>
            </w:r>
          </w:p>
        </w:tc>
      </w:tr>
      <w:tr w:rsidR="00D05D65" w:rsidRPr="00847A5D" w14:paraId="46578B9C" w14:textId="77777777" w:rsidTr="005369D5">
        <w:trPr>
          <w:cnfStyle w:val="000000010000" w:firstRow="0" w:lastRow="0" w:firstColumn="0" w:lastColumn="0" w:oddVBand="0" w:evenVBand="0" w:oddHBand="0" w:evenHBand="1" w:firstRowFirstColumn="0" w:firstRowLastColumn="0" w:lastRowFirstColumn="0" w:lastRowLastColumn="0"/>
        </w:trPr>
        <w:tc>
          <w:tcPr>
            <w:tcW w:w="3685" w:type="dxa"/>
            <w:vAlign w:val="bottom"/>
          </w:tcPr>
          <w:p w14:paraId="712339FE" w14:textId="1D925C3B" w:rsidR="00D05D65" w:rsidRPr="004A74B6" w:rsidRDefault="00D05D65" w:rsidP="00D05D65">
            <w:pPr>
              <w:rPr>
                <w:rFonts w:asciiTheme="majorHAnsi" w:hAnsiTheme="majorHAnsi" w:cstheme="majorHAnsi"/>
                <w:lang w:val="en-GB"/>
              </w:rPr>
            </w:pPr>
            <w:r w:rsidRPr="004A74B6">
              <w:rPr>
                <w:rFonts w:asciiTheme="majorHAnsi" w:hAnsiTheme="majorHAnsi" w:cstheme="majorHAnsi"/>
                <w:color w:val="000000"/>
              </w:rPr>
              <w:t>LGIM Ethical Global Equity Index</w:t>
            </w:r>
          </w:p>
        </w:tc>
        <w:tc>
          <w:tcPr>
            <w:tcW w:w="2489" w:type="dxa"/>
          </w:tcPr>
          <w:p w14:paraId="6F74C579" w14:textId="576E472D" w:rsidR="00D05D65" w:rsidRPr="004A74B6" w:rsidRDefault="009B24CB" w:rsidP="00D05D65">
            <w:pPr>
              <w:jc w:val="center"/>
              <w:rPr>
                <w:rFonts w:asciiTheme="majorHAnsi" w:hAnsiTheme="majorHAnsi" w:cstheme="majorHAnsi"/>
                <w:lang w:val="en-GB"/>
              </w:rPr>
            </w:pPr>
            <w:r>
              <w:rPr>
                <w:rFonts w:asciiTheme="majorHAnsi" w:hAnsiTheme="majorHAnsi" w:cstheme="majorHAnsi"/>
                <w:lang w:val="en-GB"/>
              </w:rPr>
              <w:t>0.</w:t>
            </w:r>
            <w:r w:rsidR="005369D5">
              <w:rPr>
                <w:rFonts w:asciiTheme="majorHAnsi" w:hAnsiTheme="majorHAnsi" w:cstheme="majorHAnsi"/>
                <w:lang w:val="en-GB"/>
              </w:rPr>
              <w:t>9</w:t>
            </w:r>
            <w:r>
              <w:rPr>
                <w:rFonts w:asciiTheme="majorHAnsi" w:hAnsiTheme="majorHAnsi" w:cstheme="majorHAnsi"/>
                <w:lang w:val="en-GB"/>
              </w:rPr>
              <w:t>5%</w:t>
            </w:r>
          </w:p>
        </w:tc>
        <w:tc>
          <w:tcPr>
            <w:tcW w:w="3182" w:type="dxa"/>
          </w:tcPr>
          <w:p w14:paraId="6DC8AB11" w14:textId="1425C16E" w:rsidR="00D05D65" w:rsidRPr="004A74B6" w:rsidRDefault="00C04F67" w:rsidP="00D05D65">
            <w:pPr>
              <w:jc w:val="center"/>
              <w:rPr>
                <w:rFonts w:asciiTheme="majorHAnsi" w:hAnsiTheme="majorHAnsi" w:cstheme="majorHAnsi"/>
                <w:color w:val="000000"/>
              </w:rPr>
            </w:pPr>
            <w:r>
              <w:rPr>
                <w:rFonts w:asciiTheme="majorHAnsi" w:hAnsiTheme="majorHAnsi" w:cstheme="majorHAnsi"/>
                <w:color w:val="000000"/>
              </w:rPr>
              <w:t>0.00%</w:t>
            </w:r>
          </w:p>
        </w:tc>
      </w:tr>
    </w:tbl>
    <w:p w14:paraId="69ABFDB6" w14:textId="59132699" w:rsidR="005369D5" w:rsidRDefault="005369D5" w:rsidP="00847A5D">
      <w:pPr>
        <w:pStyle w:val="Heading2"/>
        <w:rPr>
          <w:lang w:eastAsia="en-GB"/>
        </w:rPr>
      </w:pPr>
    </w:p>
    <w:p w14:paraId="018114EA" w14:textId="50766921" w:rsidR="00CF7F47" w:rsidRDefault="007D4681" w:rsidP="00847A5D">
      <w:pPr>
        <w:pStyle w:val="Heading2"/>
        <w:rPr>
          <w:b/>
          <w:lang w:eastAsia="en-GB"/>
        </w:rPr>
      </w:pPr>
      <w:r>
        <w:rPr>
          <w:lang w:eastAsia="en-GB"/>
        </w:rPr>
        <w:t>Impact of costs and charges</w:t>
      </w:r>
    </w:p>
    <w:p w14:paraId="4BFED5D5" w14:textId="6E428224" w:rsidR="007D4681" w:rsidRDefault="007D4681" w:rsidP="006B4574">
      <w:pPr>
        <w:pStyle w:val="ListParagraph"/>
        <w:numPr>
          <w:ilvl w:val="1"/>
          <w:numId w:val="5"/>
        </w:numPr>
        <w:spacing w:before="120" w:after="0" w:line="264" w:lineRule="auto"/>
        <w:ind w:left="567" w:hanging="567"/>
        <w:contextualSpacing w:val="0"/>
        <w:jc w:val="both"/>
        <w:rPr>
          <w:lang w:val="en-GB" w:eastAsia="en-GB" w:bidi="ar-SA"/>
        </w:rPr>
      </w:pPr>
      <w:r>
        <w:rPr>
          <w:lang w:val="en-GB" w:eastAsia="en-GB" w:bidi="ar-SA"/>
        </w:rPr>
        <w:t xml:space="preserve">To demonstrate the impact of </w:t>
      </w:r>
      <w:r w:rsidR="00445C79">
        <w:rPr>
          <w:lang w:val="en-GB" w:eastAsia="en-GB" w:bidi="ar-SA"/>
        </w:rPr>
        <w:t>charges and transaction costs on members’ pension savings over time</w:t>
      </w:r>
      <w:r>
        <w:rPr>
          <w:lang w:val="en-GB" w:eastAsia="en-GB" w:bidi="ar-SA"/>
        </w:rPr>
        <w:t xml:space="preserve">, the Trustee has produced </w:t>
      </w:r>
      <w:r w:rsidR="00483926">
        <w:rPr>
          <w:lang w:val="en-GB" w:eastAsia="en-GB" w:bidi="ar-SA"/>
        </w:rPr>
        <w:t>illustrations,</w:t>
      </w:r>
      <w:r>
        <w:rPr>
          <w:lang w:val="en-GB" w:eastAsia="en-GB" w:bidi="ar-SA"/>
        </w:rPr>
        <w:t xml:space="preserve"> </w:t>
      </w:r>
      <w:r w:rsidR="0018505E">
        <w:rPr>
          <w:lang w:val="en-GB" w:eastAsia="en-GB" w:bidi="ar-SA"/>
        </w:rPr>
        <w:t xml:space="preserve">and these </w:t>
      </w:r>
      <w:r>
        <w:rPr>
          <w:lang w:val="en-GB" w:eastAsia="en-GB" w:bidi="ar-SA"/>
        </w:rPr>
        <w:t xml:space="preserve">are set out </w:t>
      </w:r>
      <w:r w:rsidR="002B7E60">
        <w:rPr>
          <w:lang w:val="en-GB" w:eastAsia="en-GB" w:bidi="ar-SA"/>
        </w:rPr>
        <w:t>in the appendix</w:t>
      </w:r>
      <w:r>
        <w:rPr>
          <w:lang w:val="en-GB" w:eastAsia="en-GB" w:bidi="ar-SA"/>
        </w:rPr>
        <w:t xml:space="preserve">. </w:t>
      </w:r>
    </w:p>
    <w:p w14:paraId="0FED673D" w14:textId="4B6917C0" w:rsidR="00682FC2" w:rsidRPr="007513C9" w:rsidRDefault="00682FC2" w:rsidP="006B4574">
      <w:pPr>
        <w:pStyle w:val="Heading1"/>
        <w:numPr>
          <w:ilvl w:val="0"/>
          <w:numId w:val="10"/>
        </w:numPr>
        <w:spacing w:before="120" w:after="0" w:line="264" w:lineRule="auto"/>
        <w:ind w:left="567" w:hanging="567"/>
      </w:pPr>
      <w:r>
        <w:t>Net investment returns</w:t>
      </w:r>
      <w:r w:rsidRPr="007513C9" w:rsidDel="00A51804">
        <w:t xml:space="preserve"> </w:t>
      </w:r>
    </w:p>
    <w:p w14:paraId="3F461C2D" w14:textId="3925D2EB" w:rsidR="00891D2C" w:rsidRPr="00C022E4" w:rsidRDefault="00682FC2" w:rsidP="00C022E4">
      <w:pPr>
        <w:pStyle w:val="ListParagraph"/>
        <w:numPr>
          <w:ilvl w:val="1"/>
          <w:numId w:val="14"/>
        </w:numPr>
        <w:spacing w:before="120" w:line="264" w:lineRule="auto"/>
        <w:ind w:left="567" w:hanging="567"/>
        <w:jc w:val="both"/>
        <w:rPr>
          <w:lang w:val="en-GB" w:eastAsia="en-GB" w:bidi="ar-SA"/>
        </w:rPr>
      </w:pPr>
      <w:r w:rsidRPr="00686709">
        <w:rPr>
          <w:lang w:val="en-GB" w:eastAsia="en-GB" w:bidi="ar-SA"/>
        </w:rPr>
        <w:t xml:space="preserve">This section states the annual return, after the deduction of member borne charges and transaction costs, for all default arrangements and investment options that members are able, or were previously able, to select and in which members’ assets were invested during the Scheme year. When preparing this section of the statement the Trustee </w:t>
      </w:r>
      <w:r w:rsidR="00145260" w:rsidRPr="00686709">
        <w:rPr>
          <w:lang w:val="en-GB" w:eastAsia="en-GB" w:bidi="ar-SA"/>
        </w:rPr>
        <w:t>ha</w:t>
      </w:r>
      <w:r w:rsidR="00145260">
        <w:rPr>
          <w:lang w:val="en-GB" w:eastAsia="en-GB" w:bidi="ar-SA"/>
        </w:rPr>
        <w:t>s</w:t>
      </w:r>
      <w:r w:rsidR="00145260" w:rsidRPr="00686709">
        <w:rPr>
          <w:lang w:val="en-GB" w:eastAsia="en-GB" w:bidi="ar-SA"/>
        </w:rPr>
        <w:t xml:space="preserve"> </w:t>
      </w:r>
      <w:r w:rsidRPr="00686709">
        <w:rPr>
          <w:lang w:val="en-GB" w:eastAsia="en-GB" w:bidi="ar-SA"/>
        </w:rPr>
        <w:t>taken account of the relevant statutory guidance.</w:t>
      </w:r>
    </w:p>
    <w:p w14:paraId="07621501" w14:textId="4E858431" w:rsidR="00891D2C" w:rsidRPr="00EF21AD" w:rsidRDefault="00891D2C" w:rsidP="00EF21AD">
      <w:pPr>
        <w:pStyle w:val="Heading2"/>
      </w:pPr>
      <w:r w:rsidRPr="00891D2C">
        <w:t xml:space="preserve">The lifestyle strategies </w:t>
      </w:r>
    </w:p>
    <w:p w14:paraId="678A51AF" w14:textId="7D3B1129" w:rsidR="00891D2C" w:rsidRPr="00C022E4" w:rsidRDefault="00682FC2" w:rsidP="00C022E4">
      <w:pPr>
        <w:pStyle w:val="ListParagraph"/>
        <w:numPr>
          <w:ilvl w:val="1"/>
          <w:numId w:val="14"/>
        </w:numPr>
        <w:spacing w:before="120" w:after="0" w:line="264" w:lineRule="auto"/>
        <w:ind w:left="567" w:hanging="567"/>
        <w:jc w:val="both"/>
        <w:rPr>
          <w:lang w:val="en-GB" w:eastAsia="en-GB" w:bidi="ar-SA"/>
        </w:rPr>
      </w:pPr>
      <w:r w:rsidRPr="00891D2C">
        <w:rPr>
          <w:lang w:eastAsia="en-GB" w:bidi="ar-SA"/>
        </w:rPr>
        <w:t xml:space="preserve">For the arrangements where the investment returns vary with age, such as for the default </w:t>
      </w:r>
      <w:r w:rsidR="00683AF1">
        <w:rPr>
          <w:lang w:eastAsia="en-GB" w:bidi="ar-SA"/>
        </w:rPr>
        <w:t>investment arrangement</w:t>
      </w:r>
      <w:r w:rsidR="003E0D88">
        <w:rPr>
          <w:lang w:eastAsia="en-GB" w:bidi="ar-SA"/>
        </w:rPr>
        <w:t xml:space="preserve"> </w:t>
      </w:r>
      <w:r w:rsidRPr="00891D2C">
        <w:rPr>
          <w:lang w:eastAsia="en-GB" w:bidi="ar-SA"/>
        </w:rPr>
        <w:t>and for the alternative lifestyle strategies, the investment returns are shown over various periods to the end of the Scheme year for a member aged 25, 45 and 55 at the start of the period the returns are shown over.</w:t>
      </w:r>
    </w:p>
    <w:p w14:paraId="7BF605AC" w14:textId="77777777" w:rsidR="003E0D88" w:rsidRDefault="00401375" w:rsidP="00C24AA0">
      <w:pPr>
        <w:pStyle w:val="ListParagraph"/>
        <w:numPr>
          <w:ilvl w:val="1"/>
          <w:numId w:val="14"/>
        </w:numPr>
        <w:spacing w:before="120" w:after="0" w:line="264" w:lineRule="auto"/>
        <w:ind w:left="567" w:hanging="567"/>
        <w:jc w:val="both"/>
        <w:rPr>
          <w:lang w:val="en-GB" w:eastAsia="en-GB" w:bidi="ar-SA"/>
        </w:rPr>
      </w:pPr>
      <w:r w:rsidRPr="00891D2C">
        <w:rPr>
          <w:lang w:val="en-GB" w:eastAsia="en-GB" w:bidi="ar-SA"/>
        </w:rPr>
        <w:t xml:space="preserve">The </w:t>
      </w:r>
      <w:r w:rsidR="00A24EE6" w:rsidRPr="00891D2C">
        <w:rPr>
          <w:lang w:val="en-GB" w:eastAsia="en-GB" w:bidi="ar-SA"/>
        </w:rPr>
        <w:t>strategies</w:t>
      </w:r>
      <w:r w:rsidRPr="00891D2C">
        <w:rPr>
          <w:lang w:val="en-GB" w:eastAsia="en-GB" w:bidi="ar-SA"/>
        </w:rPr>
        <w:t xml:space="preserve"> </w:t>
      </w:r>
      <w:r w:rsidR="00A24EE6" w:rsidRPr="00891D2C">
        <w:rPr>
          <w:lang w:val="en-GB" w:eastAsia="en-GB" w:bidi="ar-SA"/>
        </w:rPr>
        <w:t xml:space="preserve">were </w:t>
      </w:r>
      <w:r w:rsidRPr="00891D2C">
        <w:rPr>
          <w:lang w:val="en-GB" w:eastAsia="en-GB" w:bidi="ar-SA"/>
        </w:rPr>
        <w:t>launched on 30 September 2020 and as such, there is only 1.5yrs of performance figures available. As such, we have shown the 1 year and since inception figure for completeness.</w:t>
      </w:r>
    </w:p>
    <w:p w14:paraId="3D4207B2" w14:textId="4270E163" w:rsidR="003E0D88" w:rsidRPr="003E0D88" w:rsidRDefault="003E0D88" w:rsidP="00FE2F16">
      <w:pPr>
        <w:pStyle w:val="ListParagraph"/>
        <w:numPr>
          <w:ilvl w:val="1"/>
          <w:numId w:val="14"/>
        </w:numPr>
        <w:spacing w:before="120" w:after="0" w:line="264" w:lineRule="auto"/>
        <w:ind w:left="567" w:hanging="567"/>
        <w:jc w:val="both"/>
        <w:rPr>
          <w:lang w:eastAsia="en-GB"/>
        </w:rPr>
      </w:pPr>
      <w:r w:rsidRPr="00FE2F16">
        <w:rPr>
          <w:lang w:eastAsia="en-GB" w:bidi="ar-SA"/>
        </w:rPr>
        <w:t xml:space="preserve">Please note that as all the </w:t>
      </w:r>
      <w:r>
        <w:rPr>
          <w:lang w:eastAsia="en-GB" w:bidi="ar-SA"/>
        </w:rPr>
        <w:t>lifestyle options (Drawdown</w:t>
      </w:r>
      <w:r w:rsidR="00300086">
        <w:rPr>
          <w:lang w:eastAsia="en-GB" w:bidi="ar-SA"/>
        </w:rPr>
        <w:t xml:space="preserve"> (the </w:t>
      </w:r>
      <w:r w:rsidR="00683AF1">
        <w:rPr>
          <w:lang w:eastAsia="en-GB" w:bidi="ar-SA"/>
        </w:rPr>
        <w:t>d</w:t>
      </w:r>
      <w:r w:rsidR="00300086">
        <w:rPr>
          <w:lang w:eastAsia="en-GB" w:bidi="ar-SA"/>
        </w:rPr>
        <w:t>efault</w:t>
      </w:r>
      <w:r w:rsidR="00683AF1">
        <w:rPr>
          <w:lang w:eastAsia="en-GB" w:bidi="ar-SA"/>
        </w:rPr>
        <w:t xml:space="preserve"> investment arrangement</w:t>
      </w:r>
      <w:r w:rsidR="00300086">
        <w:rPr>
          <w:lang w:eastAsia="en-GB" w:bidi="ar-SA"/>
        </w:rPr>
        <w:t>)</w:t>
      </w:r>
      <w:r>
        <w:rPr>
          <w:lang w:eastAsia="en-GB" w:bidi="ar-SA"/>
        </w:rPr>
        <w:t xml:space="preserve">, Annuity and Cash) </w:t>
      </w:r>
      <w:r w:rsidRPr="003E0D88">
        <w:rPr>
          <w:lang w:eastAsia="en-GB" w:bidi="ar-SA"/>
        </w:rPr>
        <w:t>have the same underlying funds and investment strategy</w:t>
      </w:r>
      <w:r w:rsidR="00300086">
        <w:rPr>
          <w:lang w:eastAsia="en-GB" w:bidi="ar-SA"/>
        </w:rPr>
        <w:t xml:space="preserve"> up </w:t>
      </w:r>
      <w:r w:rsidR="00561F25">
        <w:rPr>
          <w:lang w:eastAsia="en-GB" w:bidi="ar-SA"/>
        </w:rPr>
        <w:t xml:space="preserve">to </w:t>
      </w:r>
      <w:r w:rsidR="00561F25" w:rsidRPr="003E0D88">
        <w:rPr>
          <w:lang w:eastAsia="en-GB" w:bidi="ar-SA"/>
        </w:rPr>
        <w:t>seven</w:t>
      </w:r>
      <w:r w:rsidRPr="003E0D88">
        <w:rPr>
          <w:lang w:eastAsia="en-GB" w:bidi="ar-SA"/>
        </w:rPr>
        <w:t xml:space="preserve"> years prior to N</w:t>
      </w:r>
      <w:r w:rsidR="00300086">
        <w:rPr>
          <w:lang w:eastAsia="en-GB" w:bidi="ar-SA"/>
        </w:rPr>
        <w:t xml:space="preserve">ormal </w:t>
      </w:r>
      <w:r w:rsidRPr="003E0D88">
        <w:rPr>
          <w:lang w:eastAsia="en-GB" w:bidi="ar-SA"/>
        </w:rPr>
        <w:t>R</w:t>
      </w:r>
      <w:r w:rsidR="00300086">
        <w:rPr>
          <w:lang w:eastAsia="en-GB" w:bidi="ar-SA"/>
        </w:rPr>
        <w:t xml:space="preserve">etirement </w:t>
      </w:r>
      <w:r w:rsidRPr="003E0D88">
        <w:rPr>
          <w:lang w:eastAsia="en-GB" w:bidi="ar-SA"/>
        </w:rPr>
        <w:t>A</w:t>
      </w:r>
      <w:r w:rsidR="00300086">
        <w:rPr>
          <w:lang w:eastAsia="en-GB" w:bidi="ar-SA"/>
        </w:rPr>
        <w:t>ge</w:t>
      </w:r>
      <w:r w:rsidRPr="003E0D88">
        <w:rPr>
          <w:lang w:eastAsia="en-GB" w:bidi="ar-SA"/>
        </w:rPr>
        <w:t xml:space="preserve"> and as such, the returns for all three strategies </w:t>
      </w:r>
      <w:r w:rsidR="00300086">
        <w:rPr>
          <w:lang w:eastAsia="en-GB" w:bidi="ar-SA"/>
        </w:rPr>
        <w:t xml:space="preserve">are shown the </w:t>
      </w:r>
      <w:r w:rsidRPr="003E0D88">
        <w:rPr>
          <w:lang w:eastAsia="en-GB" w:bidi="ar-SA"/>
        </w:rPr>
        <w:t>same.</w:t>
      </w:r>
    </w:p>
    <w:p w14:paraId="0EB1A26E" w14:textId="77777777" w:rsidR="003E0D88" w:rsidRPr="00B31D32" w:rsidRDefault="003E0D88" w:rsidP="00FE2F16">
      <w:pPr>
        <w:pStyle w:val="ListParagraph"/>
        <w:spacing w:before="120" w:after="0" w:line="264" w:lineRule="auto"/>
        <w:ind w:left="567"/>
        <w:jc w:val="both"/>
        <w:rPr>
          <w:lang w:val="en-GB" w:eastAsia="en-GB" w:bidi="ar-SA"/>
        </w:rPr>
      </w:pPr>
    </w:p>
    <w:p w14:paraId="33C88FDC" w14:textId="583BF90E" w:rsidR="00A24EE6" w:rsidRDefault="00A24EE6" w:rsidP="00A24EE6">
      <w:pPr>
        <w:pStyle w:val="Heading2"/>
        <w:rPr>
          <w:szCs w:val="24"/>
        </w:rPr>
      </w:pPr>
      <w:r w:rsidRPr="00401375">
        <w:rPr>
          <w:szCs w:val="24"/>
        </w:rPr>
        <w:lastRenderedPageBreak/>
        <w:t xml:space="preserve">The </w:t>
      </w:r>
      <w:r w:rsidR="00683AF1">
        <w:rPr>
          <w:szCs w:val="24"/>
        </w:rPr>
        <w:t>d</w:t>
      </w:r>
      <w:r>
        <w:rPr>
          <w:szCs w:val="24"/>
        </w:rPr>
        <w:t>efault</w:t>
      </w:r>
      <w:r w:rsidR="00683AF1">
        <w:rPr>
          <w:szCs w:val="24"/>
        </w:rPr>
        <w:t xml:space="preserve"> investment arrangement</w:t>
      </w:r>
      <w:r>
        <w:rPr>
          <w:szCs w:val="24"/>
        </w:rPr>
        <w:t xml:space="preserve"> – the Drawdown </w:t>
      </w:r>
      <w:r w:rsidRPr="00401375">
        <w:rPr>
          <w:szCs w:val="24"/>
        </w:rPr>
        <w:t>Lifestyle Strategy</w:t>
      </w:r>
      <w:r w:rsidRPr="00DE461F">
        <w:rPr>
          <w:szCs w:val="24"/>
        </w:rPr>
        <w:t xml:space="preserve"> </w:t>
      </w:r>
    </w:p>
    <w:tbl>
      <w:tblPr>
        <w:tblStyle w:val="bwTable"/>
        <w:tblW w:w="9288" w:type="dxa"/>
        <w:tblInd w:w="572" w:type="dxa"/>
        <w:tblBorders>
          <w:top w:val="single" w:sz="3" w:space="0" w:color="009FE3" w:themeColor="background2"/>
          <w:left w:val="single" w:sz="3" w:space="0" w:color="009FE3" w:themeColor="background2"/>
          <w:bottom w:val="single" w:sz="3" w:space="0" w:color="009FE3" w:themeColor="background2"/>
          <w:right w:val="single" w:sz="3" w:space="0" w:color="009FE3" w:themeColor="background2"/>
          <w:insideH w:val="single" w:sz="3" w:space="0" w:color="009FE3" w:themeColor="background2"/>
          <w:insideV w:val="single" w:sz="3" w:space="0" w:color="009FE3" w:themeColor="background2"/>
        </w:tblBorders>
        <w:tblCellMar>
          <w:top w:w="99" w:type="dxa"/>
          <w:left w:w="99" w:type="dxa"/>
          <w:bottom w:w="99" w:type="dxa"/>
          <w:right w:w="99" w:type="dxa"/>
        </w:tblCellMar>
        <w:tblLook w:val="04A0" w:firstRow="1" w:lastRow="0" w:firstColumn="1" w:lastColumn="0" w:noHBand="0" w:noVBand="1"/>
      </w:tblPr>
      <w:tblGrid>
        <w:gridCol w:w="1139"/>
        <w:gridCol w:w="2189"/>
        <w:gridCol w:w="1732"/>
        <w:gridCol w:w="1969"/>
        <w:gridCol w:w="2238"/>
        <w:gridCol w:w="21"/>
      </w:tblGrid>
      <w:tr w:rsidR="00735FA8" w:rsidRPr="000C520A" w14:paraId="69FCAA96" w14:textId="77777777" w:rsidTr="00735FA8">
        <w:trPr>
          <w:cnfStyle w:val="100000000000" w:firstRow="1" w:lastRow="0" w:firstColumn="0" w:lastColumn="0" w:oddVBand="0" w:evenVBand="0" w:oddHBand="0" w:evenHBand="0" w:firstRowFirstColumn="0" w:firstRowLastColumn="0" w:lastRowFirstColumn="0" w:lastRowLastColumn="0"/>
          <w:trHeight w:val="184"/>
        </w:trPr>
        <w:tc>
          <w:tcPr>
            <w:tcW w:w="1139" w:type="dxa"/>
            <w:vMerge w:val="restart"/>
            <w:hideMark/>
          </w:tcPr>
          <w:p w14:paraId="5AC5E05D" w14:textId="77777777" w:rsidR="00735FA8" w:rsidRPr="000C520A" w:rsidRDefault="00735FA8" w:rsidP="00F65CA3">
            <w:pPr>
              <w:jc w:val="center"/>
              <w:rPr>
                <w:rFonts w:asciiTheme="minorHAnsi" w:hAnsiTheme="minorHAnsi" w:cstheme="minorHAnsi"/>
                <w:color w:val="009FE3" w:themeColor="background2"/>
                <w:sz w:val="18"/>
                <w:szCs w:val="22"/>
              </w:rPr>
            </w:pPr>
            <w:r w:rsidRPr="000C520A">
              <w:rPr>
                <w:rFonts w:asciiTheme="minorHAnsi" w:hAnsiTheme="minorHAnsi" w:cstheme="minorHAnsi"/>
                <w:color w:val="009FE3" w:themeColor="background2"/>
                <w:sz w:val="18"/>
                <w:szCs w:val="22"/>
              </w:rPr>
              <w:t>Age at start of investment period</w:t>
            </w:r>
          </w:p>
        </w:tc>
        <w:tc>
          <w:tcPr>
            <w:tcW w:w="8149" w:type="dxa"/>
            <w:gridSpan w:val="5"/>
          </w:tcPr>
          <w:p w14:paraId="1279D1E4" w14:textId="62ABFB24" w:rsidR="00735FA8" w:rsidRPr="000C520A" w:rsidRDefault="00735FA8" w:rsidP="00F65CA3">
            <w:pPr>
              <w:jc w:val="center"/>
              <w:rPr>
                <w:rFonts w:asciiTheme="minorHAnsi" w:hAnsiTheme="minorHAnsi" w:cstheme="minorHAnsi"/>
                <w:color w:val="009FE3" w:themeColor="background2"/>
                <w:sz w:val="18"/>
                <w:szCs w:val="22"/>
              </w:rPr>
            </w:pPr>
            <w:proofErr w:type="spellStart"/>
            <w:r w:rsidRPr="00B46904">
              <w:rPr>
                <w:rFonts w:asciiTheme="minorHAnsi" w:hAnsiTheme="minorHAnsi" w:cstheme="minorHAnsi"/>
                <w:color w:val="009FE3" w:themeColor="background2"/>
                <w:sz w:val="18"/>
                <w:szCs w:val="22"/>
              </w:rPr>
              <w:t>Annualised</w:t>
            </w:r>
            <w:proofErr w:type="spellEnd"/>
            <w:r w:rsidRPr="00B46904">
              <w:rPr>
                <w:rFonts w:asciiTheme="minorHAnsi" w:hAnsiTheme="minorHAnsi" w:cstheme="minorHAnsi"/>
                <w:color w:val="009FE3" w:themeColor="background2"/>
                <w:sz w:val="18"/>
                <w:szCs w:val="22"/>
              </w:rPr>
              <w:t xml:space="preserve"> returns to 31 March 2023</w:t>
            </w:r>
            <w:r w:rsidRPr="000C520A">
              <w:rPr>
                <w:rFonts w:asciiTheme="minorHAnsi" w:hAnsiTheme="minorHAnsi" w:cstheme="minorHAnsi"/>
                <w:color w:val="009FE3" w:themeColor="background2"/>
                <w:sz w:val="18"/>
                <w:szCs w:val="22"/>
              </w:rPr>
              <w:t xml:space="preserve"> </w:t>
            </w:r>
          </w:p>
        </w:tc>
      </w:tr>
      <w:tr w:rsidR="00FE2F16" w:rsidRPr="000C520A" w14:paraId="78E3CF05" w14:textId="7C7AEA7E" w:rsidTr="00FE2F16">
        <w:trPr>
          <w:gridAfter w:val="1"/>
          <w:cnfStyle w:val="000000100000" w:firstRow="0" w:lastRow="0" w:firstColumn="0" w:lastColumn="0" w:oddVBand="0" w:evenVBand="0" w:oddHBand="1" w:evenHBand="0" w:firstRowFirstColumn="0" w:firstRowLastColumn="0" w:lastRowFirstColumn="0" w:lastRowLastColumn="0"/>
          <w:wAfter w:w="21" w:type="dxa"/>
          <w:trHeight w:val="19"/>
        </w:trPr>
        <w:tc>
          <w:tcPr>
            <w:tcW w:w="1139" w:type="dxa"/>
            <w:vMerge/>
            <w:hideMark/>
          </w:tcPr>
          <w:p w14:paraId="1D293667" w14:textId="77777777" w:rsidR="00735FA8" w:rsidRPr="000C520A" w:rsidRDefault="00735FA8" w:rsidP="00F65CA3">
            <w:pPr>
              <w:rPr>
                <w:rFonts w:asciiTheme="minorHAnsi" w:hAnsiTheme="minorHAnsi" w:cstheme="minorHAnsi"/>
                <w:color w:val="009FE3" w:themeColor="background2"/>
                <w:sz w:val="18"/>
                <w:szCs w:val="22"/>
              </w:rPr>
            </w:pPr>
          </w:p>
        </w:tc>
        <w:tc>
          <w:tcPr>
            <w:tcW w:w="2189" w:type="dxa"/>
            <w:hideMark/>
          </w:tcPr>
          <w:p w14:paraId="5118D533" w14:textId="77777777" w:rsidR="00735FA8" w:rsidRPr="000C520A" w:rsidRDefault="00735FA8" w:rsidP="00F65CA3">
            <w:pPr>
              <w:jc w:val="center"/>
              <w:rPr>
                <w:rFonts w:asciiTheme="minorHAnsi" w:hAnsiTheme="minorHAnsi" w:cstheme="minorHAnsi"/>
                <w:color w:val="009FE3" w:themeColor="background2"/>
                <w:sz w:val="18"/>
                <w:szCs w:val="22"/>
              </w:rPr>
            </w:pPr>
            <w:r w:rsidRPr="000C520A">
              <w:rPr>
                <w:color w:val="009FE3"/>
                <w:sz w:val="18"/>
                <w:szCs w:val="22"/>
              </w:rPr>
              <w:t>1yr net return</w:t>
            </w:r>
          </w:p>
        </w:tc>
        <w:tc>
          <w:tcPr>
            <w:tcW w:w="1732" w:type="dxa"/>
          </w:tcPr>
          <w:p w14:paraId="1E67DB57" w14:textId="4A01F0E9" w:rsidR="00735FA8" w:rsidRPr="000C520A" w:rsidRDefault="00735FA8" w:rsidP="00F65CA3">
            <w:pPr>
              <w:jc w:val="center"/>
              <w:rPr>
                <w:color w:val="009FE3"/>
                <w:sz w:val="18"/>
                <w:szCs w:val="22"/>
              </w:rPr>
            </w:pPr>
            <w:r>
              <w:rPr>
                <w:color w:val="009FE3"/>
                <w:sz w:val="18"/>
                <w:szCs w:val="22"/>
              </w:rPr>
              <w:t>3yr net return</w:t>
            </w:r>
          </w:p>
        </w:tc>
        <w:tc>
          <w:tcPr>
            <w:tcW w:w="1969" w:type="dxa"/>
          </w:tcPr>
          <w:p w14:paraId="5B70F218" w14:textId="0BB39662" w:rsidR="00735FA8" w:rsidRPr="000C520A" w:rsidRDefault="00735FA8" w:rsidP="00F65CA3">
            <w:pPr>
              <w:jc w:val="center"/>
              <w:rPr>
                <w:color w:val="009FE3"/>
                <w:sz w:val="18"/>
                <w:szCs w:val="22"/>
              </w:rPr>
            </w:pPr>
            <w:r>
              <w:rPr>
                <w:color w:val="009FE3"/>
                <w:sz w:val="18"/>
                <w:szCs w:val="22"/>
              </w:rPr>
              <w:t>5yr net return</w:t>
            </w:r>
          </w:p>
        </w:tc>
        <w:tc>
          <w:tcPr>
            <w:tcW w:w="2238" w:type="dxa"/>
          </w:tcPr>
          <w:p w14:paraId="1282E421" w14:textId="0FBF0B59" w:rsidR="00735FA8" w:rsidRPr="000C520A" w:rsidRDefault="00735FA8" w:rsidP="00F65CA3">
            <w:pPr>
              <w:jc w:val="center"/>
              <w:rPr>
                <w:color w:val="009FE3"/>
                <w:sz w:val="18"/>
                <w:szCs w:val="22"/>
              </w:rPr>
            </w:pPr>
            <w:r>
              <w:rPr>
                <w:color w:val="009FE3"/>
                <w:sz w:val="18"/>
                <w:szCs w:val="22"/>
              </w:rPr>
              <w:t>10yr net return</w:t>
            </w:r>
          </w:p>
        </w:tc>
      </w:tr>
      <w:tr w:rsidR="00FE2F16" w:rsidRPr="000C520A" w14:paraId="6CEA300F" w14:textId="42767F4F" w:rsidTr="00FE2F16">
        <w:trPr>
          <w:gridAfter w:val="1"/>
          <w:cnfStyle w:val="000000010000" w:firstRow="0" w:lastRow="0" w:firstColumn="0" w:lastColumn="0" w:oddVBand="0" w:evenVBand="0" w:oddHBand="0" w:evenHBand="1" w:firstRowFirstColumn="0" w:firstRowLastColumn="0" w:lastRowFirstColumn="0" w:lastRowLastColumn="0"/>
          <w:wAfter w:w="21" w:type="dxa"/>
          <w:trHeight w:val="129"/>
        </w:trPr>
        <w:tc>
          <w:tcPr>
            <w:tcW w:w="1139" w:type="dxa"/>
            <w:hideMark/>
          </w:tcPr>
          <w:p w14:paraId="5689E9A7" w14:textId="77777777" w:rsidR="00735FA8" w:rsidRPr="000C520A" w:rsidRDefault="00735FA8" w:rsidP="00F65CA3">
            <w:pPr>
              <w:jc w:val="center"/>
              <w:rPr>
                <w:rFonts w:asciiTheme="minorHAnsi" w:hAnsiTheme="minorHAnsi" w:cstheme="minorHAnsi"/>
                <w:sz w:val="18"/>
                <w:szCs w:val="22"/>
              </w:rPr>
            </w:pPr>
            <w:r w:rsidRPr="000C520A">
              <w:rPr>
                <w:rFonts w:asciiTheme="minorHAnsi" w:hAnsiTheme="minorHAnsi" w:cstheme="minorHAnsi"/>
                <w:sz w:val="18"/>
                <w:szCs w:val="22"/>
              </w:rPr>
              <w:t>25</w:t>
            </w:r>
          </w:p>
        </w:tc>
        <w:tc>
          <w:tcPr>
            <w:tcW w:w="2189" w:type="dxa"/>
            <w:hideMark/>
          </w:tcPr>
          <w:p w14:paraId="03D588CF" w14:textId="35C3DDEF" w:rsidR="00735FA8" w:rsidRPr="000C520A" w:rsidRDefault="00735FA8" w:rsidP="00F65CA3">
            <w:pPr>
              <w:jc w:val="center"/>
              <w:rPr>
                <w:rFonts w:asciiTheme="minorHAnsi" w:hAnsiTheme="minorHAnsi" w:cstheme="minorHAnsi"/>
                <w:sz w:val="18"/>
                <w:szCs w:val="22"/>
                <w:highlight w:val="yellow"/>
              </w:rPr>
            </w:pPr>
            <w:r>
              <w:rPr>
                <w:rFonts w:asciiTheme="minorHAnsi" w:hAnsiTheme="minorHAnsi" w:cstheme="minorHAnsi"/>
                <w:sz w:val="18"/>
                <w:szCs w:val="22"/>
              </w:rPr>
              <w:t>-</w:t>
            </w:r>
            <w:r w:rsidR="00A43911">
              <w:rPr>
                <w:rFonts w:asciiTheme="minorHAnsi" w:hAnsiTheme="minorHAnsi" w:cstheme="minorHAnsi"/>
                <w:sz w:val="18"/>
                <w:szCs w:val="22"/>
              </w:rPr>
              <w:t>6</w:t>
            </w:r>
            <w:r>
              <w:rPr>
                <w:rFonts w:asciiTheme="minorHAnsi" w:hAnsiTheme="minorHAnsi" w:cstheme="minorHAnsi"/>
                <w:sz w:val="18"/>
                <w:szCs w:val="22"/>
              </w:rPr>
              <w:t>.</w:t>
            </w:r>
            <w:r w:rsidR="00A43911">
              <w:rPr>
                <w:rFonts w:asciiTheme="minorHAnsi" w:hAnsiTheme="minorHAnsi" w:cstheme="minorHAnsi"/>
                <w:sz w:val="18"/>
                <w:szCs w:val="22"/>
              </w:rPr>
              <w:t>60</w:t>
            </w:r>
            <w:r>
              <w:rPr>
                <w:rFonts w:asciiTheme="minorHAnsi" w:hAnsiTheme="minorHAnsi" w:cstheme="minorHAnsi"/>
                <w:sz w:val="18"/>
                <w:szCs w:val="22"/>
              </w:rPr>
              <w:t>%</w:t>
            </w:r>
          </w:p>
        </w:tc>
        <w:tc>
          <w:tcPr>
            <w:tcW w:w="1732" w:type="dxa"/>
          </w:tcPr>
          <w:p w14:paraId="39C52FDE" w14:textId="7F60724B" w:rsidR="00735FA8" w:rsidDel="005157C9"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1969" w:type="dxa"/>
          </w:tcPr>
          <w:p w14:paraId="1E42C168" w14:textId="608C906E" w:rsidR="00735FA8" w:rsidDel="005157C9"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2238" w:type="dxa"/>
          </w:tcPr>
          <w:p w14:paraId="56FED1D0" w14:textId="0CCC9171" w:rsidR="00735FA8" w:rsidDel="005157C9"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r>
      <w:tr w:rsidR="00FE2F16" w:rsidRPr="000C520A" w14:paraId="49B5A461" w14:textId="08C409C8" w:rsidTr="00FE2F16">
        <w:trPr>
          <w:gridAfter w:val="1"/>
          <w:cnfStyle w:val="000000100000" w:firstRow="0" w:lastRow="0" w:firstColumn="0" w:lastColumn="0" w:oddVBand="0" w:evenVBand="0" w:oddHBand="1" w:evenHBand="0" w:firstRowFirstColumn="0" w:firstRowLastColumn="0" w:lastRowFirstColumn="0" w:lastRowLastColumn="0"/>
          <w:wAfter w:w="21" w:type="dxa"/>
          <w:trHeight w:val="129"/>
        </w:trPr>
        <w:tc>
          <w:tcPr>
            <w:tcW w:w="1139" w:type="dxa"/>
            <w:tcBorders>
              <w:bottom w:val="single" w:sz="3" w:space="0" w:color="BFBFBF" w:themeColor="background1" w:themeShade="BF"/>
            </w:tcBorders>
            <w:hideMark/>
          </w:tcPr>
          <w:p w14:paraId="6F42A010" w14:textId="77777777" w:rsidR="00735FA8" w:rsidRPr="000C520A" w:rsidRDefault="00735FA8" w:rsidP="00401375">
            <w:pPr>
              <w:jc w:val="center"/>
              <w:rPr>
                <w:rFonts w:asciiTheme="minorHAnsi" w:hAnsiTheme="minorHAnsi" w:cstheme="minorHAnsi"/>
                <w:sz w:val="18"/>
                <w:szCs w:val="22"/>
              </w:rPr>
            </w:pPr>
            <w:r w:rsidRPr="000C520A">
              <w:rPr>
                <w:rFonts w:asciiTheme="minorHAnsi" w:hAnsiTheme="minorHAnsi" w:cstheme="minorHAnsi"/>
                <w:sz w:val="18"/>
                <w:szCs w:val="22"/>
              </w:rPr>
              <w:t>45</w:t>
            </w:r>
          </w:p>
        </w:tc>
        <w:tc>
          <w:tcPr>
            <w:tcW w:w="2189" w:type="dxa"/>
            <w:tcBorders>
              <w:bottom w:val="single" w:sz="3" w:space="0" w:color="BFBFBF" w:themeColor="background1" w:themeShade="BF"/>
            </w:tcBorders>
            <w:hideMark/>
          </w:tcPr>
          <w:p w14:paraId="6A038650" w14:textId="4547B8F5" w:rsidR="00735FA8" w:rsidRPr="000C520A" w:rsidRDefault="00735FA8" w:rsidP="00401375">
            <w:pPr>
              <w:jc w:val="center"/>
              <w:rPr>
                <w:rFonts w:asciiTheme="minorHAnsi" w:hAnsiTheme="minorHAnsi" w:cstheme="minorHAnsi"/>
                <w:sz w:val="18"/>
                <w:szCs w:val="22"/>
                <w:highlight w:val="yellow"/>
              </w:rPr>
            </w:pPr>
            <w:r>
              <w:rPr>
                <w:rFonts w:asciiTheme="minorHAnsi" w:hAnsiTheme="minorHAnsi" w:cstheme="minorHAnsi"/>
                <w:sz w:val="18"/>
                <w:szCs w:val="22"/>
              </w:rPr>
              <w:t>-</w:t>
            </w:r>
            <w:r w:rsidR="00A43911">
              <w:rPr>
                <w:rFonts w:asciiTheme="minorHAnsi" w:hAnsiTheme="minorHAnsi" w:cstheme="minorHAnsi"/>
                <w:sz w:val="18"/>
                <w:szCs w:val="22"/>
              </w:rPr>
              <w:t>6</w:t>
            </w:r>
            <w:r>
              <w:rPr>
                <w:rFonts w:asciiTheme="minorHAnsi" w:hAnsiTheme="minorHAnsi" w:cstheme="minorHAnsi"/>
                <w:sz w:val="18"/>
                <w:szCs w:val="22"/>
              </w:rPr>
              <w:t>.</w:t>
            </w:r>
            <w:r w:rsidR="00A43911">
              <w:rPr>
                <w:rFonts w:asciiTheme="minorHAnsi" w:hAnsiTheme="minorHAnsi" w:cstheme="minorHAnsi"/>
                <w:sz w:val="18"/>
                <w:szCs w:val="22"/>
              </w:rPr>
              <w:t>60</w:t>
            </w:r>
            <w:r>
              <w:rPr>
                <w:rFonts w:asciiTheme="minorHAnsi" w:hAnsiTheme="minorHAnsi" w:cstheme="minorHAnsi"/>
                <w:sz w:val="18"/>
                <w:szCs w:val="22"/>
              </w:rPr>
              <w:t>%</w:t>
            </w:r>
          </w:p>
        </w:tc>
        <w:tc>
          <w:tcPr>
            <w:tcW w:w="1732" w:type="dxa"/>
            <w:tcBorders>
              <w:bottom w:val="single" w:sz="3" w:space="0" w:color="BFBFBF" w:themeColor="background1" w:themeShade="BF"/>
            </w:tcBorders>
          </w:tcPr>
          <w:p w14:paraId="5149F791" w14:textId="180E93C5" w:rsidR="00735FA8" w:rsidRDefault="00735FA8" w:rsidP="00401375">
            <w:pPr>
              <w:jc w:val="center"/>
              <w:rPr>
                <w:rFonts w:asciiTheme="minorHAnsi" w:hAnsiTheme="minorHAnsi" w:cstheme="minorHAnsi"/>
                <w:sz w:val="18"/>
                <w:szCs w:val="22"/>
              </w:rPr>
            </w:pPr>
            <w:r>
              <w:rPr>
                <w:rFonts w:asciiTheme="minorHAnsi" w:hAnsiTheme="minorHAnsi" w:cstheme="minorHAnsi"/>
                <w:sz w:val="18"/>
                <w:szCs w:val="22"/>
              </w:rPr>
              <w:t>-</w:t>
            </w:r>
          </w:p>
        </w:tc>
        <w:tc>
          <w:tcPr>
            <w:tcW w:w="1969" w:type="dxa"/>
            <w:tcBorders>
              <w:bottom w:val="single" w:sz="3" w:space="0" w:color="BFBFBF" w:themeColor="background1" w:themeShade="BF"/>
            </w:tcBorders>
          </w:tcPr>
          <w:p w14:paraId="33FC826A" w14:textId="542E8DCC" w:rsidR="00735FA8" w:rsidRDefault="00735FA8" w:rsidP="00401375">
            <w:pPr>
              <w:jc w:val="center"/>
              <w:rPr>
                <w:rFonts w:asciiTheme="minorHAnsi" w:hAnsiTheme="minorHAnsi" w:cstheme="minorHAnsi"/>
                <w:sz w:val="18"/>
                <w:szCs w:val="22"/>
              </w:rPr>
            </w:pPr>
            <w:r>
              <w:rPr>
                <w:rFonts w:asciiTheme="minorHAnsi" w:hAnsiTheme="minorHAnsi" w:cstheme="minorHAnsi"/>
                <w:sz w:val="18"/>
                <w:szCs w:val="22"/>
              </w:rPr>
              <w:t>-</w:t>
            </w:r>
          </w:p>
        </w:tc>
        <w:tc>
          <w:tcPr>
            <w:tcW w:w="2238" w:type="dxa"/>
            <w:tcBorders>
              <w:bottom w:val="single" w:sz="3" w:space="0" w:color="BFBFBF" w:themeColor="background1" w:themeShade="BF"/>
            </w:tcBorders>
          </w:tcPr>
          <w:p w14:paraId="63B802BD" w14:textId="0336D47F" w:rsidR="00735FA8" w:rsidRDefault="00735FA8" w:rsidP="00401375">
            <w:pPr>
              <w:jc w:val="center"/>
              <w:rPr>
                <w:rFonts w:asciiTheme="minorHAnsi" w:hAnsiTheme="minorHAnsi" w:cstheme="minorHAnsi"/>
                <w:sz w:val="18"/>
                <w:szCs w:val="22"/>
              </w:rPr>
            </w:pPr>
            <w:r>
              <w:rPr>
                <w:rFonts w:asciiTheme="minorHAnsi" w:hAnsiTheme="minorHAnsi" w:cstheme="minorHAnsi"/>
                <w:sz w:val="18"/>
                <w:szCs w:val="22"/>
              </w:rPr>
              <w:t>-</w:t>
            </w:r>
          </w:p>
        </w:tc>
      </w:tr>
      <w:tr w:rsidR="00FE2F16" w:rsidRPr="000C520A" w14:paraId="59DD886C" w14:textId="254DF8A2" w:rsidTr="00FE2F16">
        <w:trPr>
          <w:gridAfter w:val="1"/>
          <w:cnfStyle w:val="000000010000" w:firstRow="0" w:lastRow="0" w:firstColumn="0" w:lastColumn="0" w:oddVBand="0" w:evenVBand="0" w:oddHBand="0" w:evenHBand="1" w:firstRowFirstColumn="0" w:firstRowLastColumn="0" w:lastRowFirstColumn="0" w:lastRowLastColumn="0"/>
          <w:wAfter w:w="21" w:type="dxa"/>
          <w:trHeight w:val="136"/>
        </w:trPr>
        <w:tc>
          <w:tcPr>
            <w:tcW w:w="1139" w:type="dxa"/>
            <w:tcBorders>
              <w:bottom w:val="single" w:sz="3" w:space="0" w:color="BFBFBF" w:themeColor="background1" w:themeShade="BF"/>
            </w:tcBorders>
            <w:hideMark/>
          </w:tcPr>
          <w:p w14:paraId="587001B7" w14:textId="77777777" w:rsidR="00735FA8" w:rsidRPr="000C520A" w:rsidRDefault="00735FA8" w:rsidP="00401375">
            <w:pPr>
              <w:jc w:val="center"/>
              <w:rPr>
                <w:rFonts w:asciiTheme="minorHAnsi" w:hAnsiTheme="minorHAnsi" w:cstheme="minorHAnsi"/>
                <w:sz w:val="18"/>
                <w:szCs w:val="22"/>
              </w:rPr>
            </w:pPr>
            <w:r w:rsidRPr="000C520A">
              <w:rPr>
                <w:rFonts w:asciiTheme="minorHAnsi" w:hAnsiTheme="minorHAnsi" w:cstheme="minorHAnsi"/>
                <w:sz w:val="18"/>
                <w:szCs w:val="22"/>
              </w:rPr>
              <w:t>55</w:t>
            </w:r>
          </w:p>
        </w:tc>
        <w:tc>
          <w:tcPr>
            <w:tcW w:w="2189" w:type="dxa"/>
            <w:tcBorders>
              <w:bottom w:val="single" w:sz="3" w:space="0" w:color="BFBFBF" w:themeColor="background1" w:themeShade="BF"/>
            </w:tcBorders>
            <w:hideMark/>
          </w:tcPr>
          <w:p w14:paraId="5BFEB992" w14:textId="4FCCC1A0" w:rsidR="00735FA8" w:rsidRPr="000C520A" w:rsidRDefault="00735FA8" w:rsidP="00401375">
            <w:pPr>
              <w:jc w:val="center"/>
              <w:rPr>
                <w:rFonts w:asciiTheme="minorHAnsi" w:hAnsiTheme="minorHAnsi" w:cstheme="minorHAnsi"/>
                <w:sz w:val="18"/>
                <w:szCs w:val="22"/>
                <w:highlight w:val="yellow"/>
              </w:rPr>
            </w:pPr>
            <w:r>
              <w:rPr>
                <w:rFonts w:asciiTheme="minorHAnsi" w:hAnsiTheme="minorHAnsi" w:cstheme="minorHAnsi"/>
                <w:sz w:val="18"/>
                <w:szCs w:val="22"/>
              </w:rPr>
              <w:t>-</w:t>
            </w:r>
            <w:r w:rsidR="00A43911">
              <w:rPr>
                <w:rFonts w:asciiTheme="minorHAnsi" w:hAnsiTheme="minorHAnsi" w:cstheme="minorHAnsi"/>
                <w:sz w:val="18"/>
                <w:szCs w:val="22"/>
              </w:rPr>
              <w:t>6.60</w:t>
            </w:r>
            <w:r>
              <w:rPr>
                <w:rFonts w:asciiTheme="minorHAnsi" w:hAnsiTheme="minorHAnsi" w:cstheme="minorHAnsi"/>
                <w:sz w:val="18"/>
                <w:szCs w:val="22"/>
              </w:rPr>
              <w:t>%</w:t>
            </w:r>
          </w:p>
        </w:tc>
        <w:tc>
          <w:tcPr>
            <w:tcW w:w="1732" w:type="dxa"/>
            <w:tcBorders>
              <w:bottom w:val="single" w:sz="3" w:space="0" w:color="BFBFBF" w:themeColor="background1" w:themeShade="BF"/>
            </w:tcBorders>
          </w:tcPr>
          <w:p w14:paraId="52D96CCF" w14:textId="02117132" w:rsidR="00735FA8" w:rsidRDefault="00735FA8" w:rsidP="00401375">
            <w:pPr>
              <w:jc w:val="center"/>
              <w:rPr>
                <w:rFonts w:asciiTheme="minorHAnsi" w:hAnsiTheme="minorHAnsi" w:cstheme="minorHAnsi"/>
                <w:sz w:val="18"/>
                <w:szCs w:val="22"/>
              </w:rPr>
            </w:pPr>
            <w:r>
              <w:rPr>
                <w:rFonts w:asciiTheme="minorHAnsi" w:hAnsiTheme="minorHAnsi" w:cstheme="minorHAnsi"/>
                <w:sz w:val="18"/>
                <w:szCs w:val="22"/>
              </w:rPr>
              <w:t>-</w:t>
            </w:r>
          </w:p>
        </w:tc>
        <w:tc>
          <w:tcPr>
            <w:tcW w:w="1969" w:type="dxa"/>
            <w:tcBorders>
              <w:bottom w:val="single" w:sz="3" w:space="0" w:color="BFBFBF" w:themeColor="background1" w:themeShade="BF"/>
            </w:tcBorders>
          </w:tcPr>
          <w:p w14:paraId="701F6600" w14:textId="05A181D3" w:rsidR="00735FA8" w:rsidRDefault="00735FA8" w:rsidP="00401375">
            <w:pPr>
              <w:jc w:val="center"/>
              <w:rPr>
                <w:rFonts w:asciiTheme="minorHAnsi" w:hAnsiTheme="minorHAnsi" w:cstheme="minorHAnsi"/>
                <w:sz w:val="18"/>
                <w:szCs w:val="22"/>
              </w:rPr>
            </w:pPr>
            <w:r>
              <w:rPr>
                <w:rFonts w:asciiTheme="minorHAnsi" w:hAnsiTheme="minorHAnsi" w:cstheme="minorHAnsi"/>
                <w:sz w:val="18"/>
                <w:szCs w:val="22"/>
              </w:rPr>
              <w:t>-</w:t>
            </w:r>
          </w:p>
        </w:tc>
        <w:tc>
          <w:tcPr>
            <w:tcW w:w="2238" w:type="dxa"/>
            <w:tcBorders>
              <w:bottom w:val="single" w:sz="3" w:space="0" w:color="BFBFBF" w:themeColor="background1" w:themeShade="BF"/>
            </w:tcBorders>
          </w:tcPr>
          <w:p w14:paraId="3B482EE0" w14:textId="74ABEF18" w:rsidR="00735FA8" w:rsidRDefault="00735FA8" w:rsidP="00401375">
            <w:pPr>
              <w:jc w:val="center"/>
              <w:rPr>
                <w:rFonts w:asciiTheme="minorHAnsi" w:hAnsiTheme="minorHAnsi" w:cstheme="minorHAnsi"/>
                <w:sz w:val="18"/>
                <w:szCs w:val="22"/>
              </w:rPr>
            </w:pPr>
            <w:r>
              <w:rPr>
                <w:rFonts w:asciiTheme="minorHAnsi" w:hAnsiTheme="minorHAnsi" w:cstheme="minorHAnsi"/>
                <w:sz w:val="18"/>
                <w:szCs w:val="22"/>
              </w:rPr>
              <w:t>-</w:t>
            </w:r>
          </w:p>
        </w:tc>
      </w:tr>
    </w:tbl>
    <w:p w14:paraId="5C12B5DE" w14:textId="0FDF0B4C" w:rsidR="00401375" w:rsidRDefault="00401375" w:rsidP="00401375">
      <w:pPr>
        <w:pStyle w:val="Heading2"/>
      </w:pPr>
      <w:r w:rsidRPr="00401375">
        <w:rPr>
          <w:szCs w:val="24"/>
        </w:rPr>
        <w:t xml:space="preserve">The </w:t>
      </w:r>
      <w:r>
        <w:rPr>
          <w:szCs w:val="24"/>
        </w:rPr>
        <w:t xml:space="preserve">Annuity </w:t>
      </w:r>
      <w:r w:rsidRPr="00401375">
        <w:rPr>
          <w:szCs w:val="24"/>
        </w:rPr>
        <w:t>Lifestyle Strategy</w:t>
      </w:r>
      <w:r w:rsidRPr="00DE461F">
        <w:rPr>
          <w:szCs w:val="24"/>
        </w:rPr>
        <w:t xml:space="preserve"> </w:t>
      </w:r>
    </w:p>
    <w:tbl>
      <w:tblPr>
        <w:tblStyle w:val="bwTable"/>
        <w:tblW w:w="9288" w:type="dxa"/>
        <w:tblInd w:w="572" w:type="dxa"/>
        <w:tblBorders>
          <w:top w:val="single" w:sz="3" w:space="0" w:color="009FE3" w:themeColor="background2"/>
          <w:left w:val="single" w:sz="3" w:space="0" w:color="009FE3" w:themeColor="background2"/>
          <w:bottom w:val="single" w:sz="3" w:space="0" w:color="009FE3" w:themeColor="background2"/>
          <w:right w:val="single" w:sz="3" w:space="0" w:color="009FE3" w:themeColor="background2"/>
          <w:insideH w:val="single" w:sz="3" w:space="0" w:color="009FE3" w:themeColor="background2"/>
          <w:insideV w:val="single" w:sz="3" w:space="0" w:color="009FE3" w:themeColor="background2"/>
        </w:tblBorders>
        <w:tblCellMar>
          <w:top w:w="99" w:type="dxa"/>
          <w:left w:w="99" w:type="dxa"/>
          <w:bottom w:w="99" w:type="dxa"/>
          <w:right w:w="99" w:type="dxa"/>
        </w:tblCellMar>
        <w:tblLook w:val="04A0" w:firstRow="1" w:lastRow="0" w:firstColumn="1" w:lastColumn="0" w:noHBand="0" w:noVBand="1"/>
      </w:tblPr>
      <w:tblGrid>
        <w:gridCol w:w="1476"/>
        <w:gridCol w:w="2186"/>
        <w:gridCol w:w="1630"/>
        <w:gridCol w:w="1858"/>
        <w:gridCol w:w="2118"/>
        <w:gridCol w:w="20"/>
      </w:tblGrid>
      <w:tr w:rsidR="00735FA8" w:rsidRPr="000C520A" w14:paraId="52B4A38A" w14:textId="77777777" w:rsidTr="00735FA8">
        <w:trPr>
          <w:cnfStyle w:val="100000000000" w:firstRow="1" w:lastRow="0" w:firstColumn="0" w:lastColumn="0" w:oddVBand="0" w:evenVBand="0" w:oddHBand="0" w:evenHBand="0" w:firstRowFirstColumn="0" w:firstRowLastColumn="0" w:lastRowFirstColumn="0" w:lastRowLastColumn="0"/>
          <w:trHeight w:val="184"/>
        </w:trPr>
        <w:tc>
          <w:tcPr>
            <w:tcW w:w="1476" w:type="dxa"/>
            <w:vMerge w:val="restart"/>
            <w:hideMark/>
          </w:tcPr>
          <w:p w14:paraId="14A17B24" w14:textId="77777777" w:rsidR="00735FA8" w:rsidRPr="000C520A" w:rsidRDefault="00735FA8" w:rsidP="00F65CA3">
            <w:pPr>
              <w:jc w:val="center"/>
              <w:rPr>
                <w:rFonts w:asciiTheme="minorHAnsi" w:hAnsiTheme="minorHAnsi" w:cstheme="minorHAnsi"/>
                <w:color w:val="009FE3" w:themeColor="background2"/>
                <w:sz w:val="18"/>
                <w:szCs w:val="22"/>
              </w:rPr>
            </w:pPr>
            <w:r w:rsidRPr="000C520A">
              <w:rPr>
                <w:rFonts w:asciiTheme="minorHAnsi" w:hAnsiTheme="minorHAnsi" w:cstheme="minorHAnsi"/>
                <w:color w:val="009FE3" w:themeColor="background2"/>
                <w:sz w:val="18"/>
                <w:szCs w:val="22"/>
              </w:rPr>
              <w:t>Age at start of investment period</w:t>
            </w:r>
          </w:p>
        </w:tc>
        <w:tc>
          <w:tcPr>
            <w:tcW w:w="7812" w:type="dxa"/>
            <w:gridSpan w:val="5"/>
          </w:tcPr>
          <w:p w14:paraId="11FDDA84" w14:textId="7D2CEE90" w:rsidR="00735FA8" w:rsidRPr="000C520A" w:rsidRDefault="00735FA8" w:rsidP="00F65CA3">
            <w:pPr>
              <w:jc w:val="center"/>
              <w:rPr>
                <w:rFonts w:asciiTheme="minorHAnsi" w:hAnsiTheme="minorHAnsi" w:cstheme="minorHAnsi"/>
                <w:color w:val="009FE3" w:themeColor="background2"/>
                <w:sz w:val="18"/>
                <w:szCs w:val="22"/>
              </w:rPr>
            </w:pPr>
            <w:proofErr w:type="spellStart"/>
            <w:r w:rsidRPr="000C520A">
              <w:rPr>
                <w:rFonts w:asciiTheme="minorHAnsi" w:hAnsiTheme="minorHAnsi" w:cstheme="minorHAnsi"/>
                <w:color w:val="009FE3" w:themeColor="background2"/>
                <w:sz w:val="18"/>
                <w:szCs w:val="22"/>
              </w:rPr>
              <w:t>Annualised</w:t>
            </w:r>
            <w:proofErr w:type="spellEnd"/>
            <w:r w:rsidRPr="000C520A">
              <w:rPr>
                <w:rFonts w:asciiTheme="minorHAnsi" w:hAnsiTheme="minorHAnsi" w:cstheme="minorHAnsi"/>
                <w:color w:val="009FE3" w:themeColor="background2"/>
                <w:sz w:val="18"/>
                <w:szCs w:val="22"/>
              </w:rPr>
              <w:t xml:space="preserve"> returns to 31 </w:t>
            </w:r>
            <w:r>
              <w:rPr>
                <w:rFonts w:asciiTheme="minorHAnsi" w:hAnsiTheme="minorHAnsi" w:cstheme="minorHAnsi"/>
                <w:color w:val="009FE3" w:themeColor="background2"/>
                <w:sz w:val="18"/>
                <w:szCs w:val="22"/>
              </w:rPr>
              <w:t>March 2023</w:t>
            </w:r>
            <w:r w:rsidRPr="000C520A">
              <w:rPr>
                <w:rFonts w:asciiTheme="minorHAnsi" w:hAnsiTheme="minorHAnsi" w:cstheme="minorHAnsi"/>
                <w:color w:val="009FE3" w:themeColor="background2"/>
                <w:sz w:val="18"/>
                <w:szCs w:val="22"/>
              </w:rPr>
              <w:t xml:space="preserve"> </w:t>
            </w:r>
          </w:p>
        </w:tc>
      </w:tr>
      <w:tr w:rsidR="00FE2F16" w:rsidRPr="000C520A" w14:paraId="2170FAAB" w14:textId="67645050" w:rsidTr="00FE2F16">
        <w:trPr>
          <w:gridAfter w:val="1"/>
          <w:cnfStyle w:val="000000100000" w:firstRow="0" w:lastRow="0" w:firstColumn="0" w:lastColumn="0" w:oddVBand="0" w:evenVBand="0" w:oddHBand="1" w:evenHBand="0" w:firstRowFirstColumn="0" w:firstRowLastColumn="0" w:lastRowFirstColumn="0" w:lastRowLastColumn="0"/>
          <w:wAfter w:w="20" w:type="dxa"/>
          <w:trHeight w:val="19"/>
        </w:trPr>
        <w:tc>
          <w:tcPr>
            <w:tcW w:w="1476" w:type="dxa"/>
            <w:vMerge/>
            <w:hideMark/>
          </w:tcPr>
          <w:p w14:paraId="76F2B7B3" w14:textId="77777777" w:rsidR="00735FA8" w:rsidRPr="000C520A" w:rsidRDefault="00735FA8" w:rsidP="00F65CA3">
            <w:pPr>
              <w:rPr>
                <w:rFonts w:asciiTheme="minorHAnsi" w:hAnsiTheme="minorHAnsi" w:cstheme="minorHAnsi"/>
                <w:color w:val="009FE3" w:themeColor="background2"/>
                <w:sz w:val="18"/>
                <w:szCs w:val="22"/>
              </w:rPr>
            </w:pPr>
          </w:p>
        </w:tc>
        <w:tc>
          <w:tcPr>
            <w:tcW w:w="2186" w:type="dxa"/>
            <w:hideMark/>
          </w:tcPr>
          <w:p w14:paraId="587E54AC" w14:textId="77777777" w:rsidR="00735FA8" w:rsidRPr="000C520A" w:rsidRDefault="00735FA8" w:rsidP="00F65CA3">
            <w:pPr>
              <w:jc w:val="center"/>
              <w:rPr>
                <w:rFonts w:asciiTheme="minorHAnsi" w:hAnsiTheme="minorHAnsi" w:cstheme="minorHAnsi"/>
                <w:color w:val="009FE3" w:themeColor="background2"/>
                <w:sz w:val="18"/>
                <w:szCs w:val="22"/>
              </w:rPr>
            </w:pPr>
            <w:r w:rsidRPr="000C520A">
              <w:rPr>
                <w:color w:val="009FE3"/>
                <w:sz w:val="18"/>
                <w:szCs w:val="22"/>
              </w:rPr>
              <w:t>1yr net return</w:t>
            </w:r>
          </w:p>
        </w:tc>
        <w:tc>
          <w:tcPr>
            <w:tcW w:w="1630" w:type="dxa"/>
          </w:tcPr>
          <w:p w14:paraId="0F773B75" w14:textId="229ECCDE" w:rsidR="00735FA8" w:rsidRPr="000C520A" w:rsidRDefault="00735FA8" w:rsidP="00F65CA3">
            <w:pPr>
              <w:jc w:val="center"/>
              <w:rPr>
                <w:color w:val="009FE3"/>
                <w:sz w:val="18"/>
                <w:szCs w:val="22"/>
              </w:rPr>
            </w:pPr>
            <w:r>
              <w:rPr>
                <w:color w:val="009FE3"/>
                <w:sz w:val="18"/>
                <w:szCs w:val="22"/>
              </w:rPr>
              <w:t>3yr net return</w:t>
            </w:r>
          </w:p>
        </w:tc>
        <w:tc>
          <w:tcPr>
            <w:tcW w:w="1858" w:type="dxa"/>
          </w:tcPr>
          <w:p w14:paraId="4738DBDA" w14:textId="4EC783F3" w:rsidR="00735FA8" w:rsidRPr="000C520A" w:rsidRDefault="00735FA8" w:rsidP="00F65CA3">
            <w:pPr>
              <w:jc w:val="center"/>
              <w:rPr>
                <w:color w:val="009FE3"/>
                <w:sz w:val="18"/>
                <w:szCs w:val="22"/>
              </w:rPr>
            </w:pPr>
            <w:r>
              <w:rPr>
                <w:color w:val="009FE3"/>
                <w:sz w:val="18"/>
                <w:szCs w:val="22"/>
              </w:rPr>
              <w:t>5yr net return</w:t>
            </w:r>
          </w:p>
        </w:tc>
        <w:tc>
          <w:tcPr>
            <w:tcW w:w="2118" w:type="dxa"/>
          </w:tcPr>
          <w:p w14:paraId="0E6A0780" w14:textId="339D3726" w:rsidR="00735FA8" w:rsidRPr="000C520A" w:rsidRDefault="00735FA8" w:rsidP="00F65CA3">
            <w:pPr>
              <w:jc w:val="center"/>
              <w:rPr>
                <w:color w:val="009FE3"/>
                <w:sz w:val="18"/>
                <w:szCs w:val="22"/>
              </w:rPr>
            </w:pPr>
            <w:r>
              <w:rPr>
                <w:color w:val="009FE3"/>
                <w:sz w:val="18"/>
                <w:szCs w:val="22"/>
              </w:rPr>
              <w:t>10yr net return</w:t>
            </w:r>
          </w:p>
        </w:tc>
      </w:tr>
      <w:tr w:rsidR="00FE2F16" w:rsidRPr="000C520A" w14:paraId="58F6EA73" w14:textId="14AE6556" w:rsidTr="00FE2F16">
        <w:trPr>
          <w:gridAfter w:val="1"/>
          <w:cnfStyle w:val="000000010000" w:firstRow="0" w:lastRow="0" w:firstColumn="0" w:lastColumn="0" w:oddVBand="0" w:evenVBand="0" w:oddHBand="0" w:evenHBand="1" w:firstRowFirstColumn="0" w:firstRowLastColumn="0" w:lastRowFirstColumn="0" w:lastRowLastColumn="0"/>
          <w:wAfter w:w="20" w:type="dxa"/>
          <w:trHeight w:val="129"/>
        </w:trPr>
        <w:tc>
          <w:tcPr>
            <w:tcW w:w="1476" w:type="dxa"/>
            <w:hideMark/>
          </w:tcPr>
          <w:p w14:paraId="064D3616" w14:textId="77777777" w:rsidR="00735FA8" w:rsidRPr="000C520A" w:rsidRDefault="00735FA8" w:rsidP="00F65CA3">
            <w:pPr>
              <w:jc w:val="center"/>
              <w:rPr>
                <w:rFonts w:asciiTheme="minorHAnsi" w:hAnsiTheme="minorHAnsi" w:cstheme="minorHAnsi"/>
                <w:sz w:val="18"/>
                <w:szCs w:val="22"/>
              </w:rPr>
            </w:pPr>
            <w:r w:rsidRPr="000C520A">
              <w:rPr>
                <w:rFonts w:asciiTheme="minorHAnsi" w:hAnsiTheme="minorHAnsi" w:cstheme="minorHAnsi"/>
                <w:sz w:val="18"/>
                <w:szCs w:val="22"/>
              </w:rPr>
              <w:t>25</w:t>
            </w:r>
          </w:p>
        </w:tc>
        <w:tc>
          <w:tcPr>
            <w:tcW w:w="2186" w:type="dxa"/>
            <w:hideMark/>
          </w:tcPr>
          <w:p w14:paraId="5B209F4D" w14:textId="1E7FDD75" w:rsidR="00735FA8" w:rsidRPr="000C520A" w:rsidRDefault="00735FA8" w:rsidP="00F65CA3">
            <w:pPr>
              <w:jc w:val="center"/>
              <w:rPr>
                <w:rFonts w:asciiTheme="minorHAnsi" w:hAnsiTheme="minorHAnsi" w:cstheme="minorHAnsi"/>
                <w:sz w:val="18"/>
                <w:szCs w:val="22"/>
                <w:highlight w:val="yellow"/>
              </w:rPr>
            </w:pPr>
            <w:r>
              <w:rPr>
                <w:rFonts w:asciiTheme="minorHAnsi" w:hAnsiTheme="minorHAnsi" w:cstheme="minorHAnsi"/>
                <w:sz w:val="18"/>
                <w:szCs w:val="22"/>
              </w:rPr>
              <w:t>-</w:t>
            </w:r>
            <w:r w:rsidR="00A43911">
              <w:rPr>
                <w:rFonts w:asciiTheme="minorHAnsi" w:hAnsiTheme="minorHAnsi" w:cstheme="minorHAnsi"/>
                <w:sz w:val="18"/>
                <w:szCs w:val="22"/>
              </w:rPr>
              <w:t>6.60</w:t>
            </w:r>
            <w:r>
              <w:rPr>
                <w:rFonts w:asciiTheme="minorHAnsi" w:hAnsiTheme="minorHAnsi" w:cstheme="minorHAnsi"/>
                <w:sz w:val="18"/>
                <w:szCs w:val="22"/>
              </w:rPr>
              <w:t>%</w:t>
            </w:r>
          </w:p>
        </w:tc>
        <w:tc>
          <w:tcPr>
            <w:tcW w:w="1630" w:type="dxa"/>
          </w:tcPr>
          <w:p w14:paraId="242D1910" w14:textId="1795FE9F" w:rsidR="00735FA8" w:rsidDel="00BE6A1A"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1858" w:type="dxa"/>
          </w:tcPr>
          <w:p w14:paraId="04414A9F" w14:textId="1B22DAAD" w:rsidR="00735FA8" w:rsidDel="00BE6A1A"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2118" w:type="dxa"/>
          </w:tcPr>
          <w:p w14:paraId="017251B0" w14:textId="3176322A" w:rsidR="00735FA8" w:rsidDel="00BE6A1A"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r>
      <w:tr w:rsidR="00FE2F16" w:rsidRPr="000C520A" w14:paraId="4C18B86F" w14:textId="19B47E51" w:rsidTr="00FE2F16">
        <w:trPr>
          <w:gridAfter w:val="1"/>
          <w:cnfStyle w:val="000000100000" w:firstRow="0" w:lastRow="0" w:firstColumn="0" w:lastColumn="0" w:oddVBand="0" w:evenVBand="0" w:oddHBand="1" w:evenHBand="0" w:firstRowFirstColumn="0" w:firstRowLastColumn="0" w:lastRowFirstColumn="0" w:lastRowLastColumn="0"/>
          <w:wAfter w:w="20" w:type="dxa"/>
          <w:trHeight w:val="129"/>
        </w:trPr>
        <w:tc>
          <w:tcPr>
            <w:tcW w:w="1476" w:type="dxa"/>
            <w:tcBorders>
              <w:bottom w:val="single" w:sz="3" w:space="0" w:color="BFBFBF" w:themeColor="background1" w:themeShade="BF"/>
            </w:tcBorders>
            <w:hideMark/>
          </w:tcPr>
          <w:p w14:paraId="138D2BDA" w14:textId="77777777" w:rsidR="00735FA8" w:rsidRPr="000C520A" w:rsidRDefault="00735FA8" w:rsidP="00F65CA3">
            <w:pPr>
              <w:jc w:val="center"/>
              <w:rPr>
                <w:rFonts w:asciiTheme="minorHAnsi" w:hAnsiTheme="minorHAnsi" w:cstheme="minorHAnsi"/>
                <w:sz w:val="18"/>
                <w:szCs w:val="22"/>
              </w:rPr>
            </w:pPr>
            <w:r w:rsidRPr="000C520A">
              <w:rPr>
                <w:rFonts w:asciiTheme="minorHAnsi" w:hAnsiTheme="minorHAnsi" w:cstheme="minorHAnsi"/>
                <w:sz w:val="18"/>
                <w:szCs w:val="22"/>
              </w:rPr>
              <w:t>45</w:t>
            </w:r>
          </w:p>
        </w:tc>
        <w:tc>
          <w:tcPr>
            <w:tcW w:w="2186" w:type="dxa"/>
            <w:tcBorders>
              <w:bottom w:val="single" w:sz="3" w:space="0" w:color="BFBFBF" w:themeColor="background1" w:themeShade="BF"/>
            </w:tcBorders>
            <w:hideMark/>
          </w:tcPr>
          <w:p w14:paraId="29D7F727" w14:textId="31CA5153" w:rsidR="00735FA8" w:rsidRPr="000C520A" w:rsidRDefault="00A43911" w:rsidP="00F65CA3">
            <w:pPr>
              <w:jc w:val="center"/>
              <w:rPr>
                <w:rFonts w:asciiTheme="minorHAnsi" w:hAnsiTheme="minorHAnsi" w:cstheme="minorHAnsi"/>
                <w:sz w:val="18"/>
                <w:szCs w:val="22"/>
                <w:highlight w:val="yellow"/>
              </w:rPr>
            </w:pPr>
            <w:r>
              <w:rPr>
                <w:rFonts w:asciiTheme="minorHAnsi" w:hAnsiTheme="minorHAnsi" w:cstheme="minorHAnsi"/>
                <w:sz w:val="18"/>
                <w:szCs w:val="22"/>
              </w:rPr>
              <w:t>-6.60%</w:t>
            </w:r>
          </w:p>
        </w:tc>
        <w:tc>
          <w:tcPr>
            <w:tcW w:w="1630" w:type="dxa"/>
            <w:tcBorders>
              <w:bottom w:val="single" w:sz="3" w:space="0" w:color="BFBFBF" w:themeColor="background1" w:themeShade="BF"/>
            </w:tcBorders>
          </w:tcPr>
          <w:p w14:paraId="08750F8E" w14:textId="45D86C8D" w:rsidR="00735FA8"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1858" w:type="dxa"/>
            <w:tcBorders>
              <w:bottom w:val="single" w:sz="3" w:space="0" w:color="BFBFBF" w:themeColor="background1" w:themeShade="BF"/>
            </w:tcBorders>
          </w:tcPr>
          <w:p w14:paraId="24279C63" w14:textId="25FE74EA" w:rsidR="00735FA8"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2118" w:type="dxa"/>
            <w:tcBorders>
              <w:bottom w:val="single" w:sz="3" w:space="0" w:color="BFBFBF" w:themeColor="background1" w:themeShade="BF"/>
            </w:tcBorders>
          </w:tcPr>
          <w:p w14:paraId="3C5EB7CD" w14:textId="164A4785" w:rsidR="00735FA8"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r>
      <w:tr w:rsidR="00FE2F16" w:rsidRPr="000C520A" w14:paraId="4655409B" w14:textId="18BE18AB" w:rsidTr="00FE2F16">
        <w:trPr>
          <w:gridAfter w:val="1"/>
          <w:cnfStyle w:val="000000010000" w:firstRow="0" w:lastRow="0" w:firstColumn="0" w:lastColumn="0" w:oddVBand="0" w:evenVBand="0" w:oddHBand="0" w:evenHBand="1" w:firstRowFirstColumn="0" w:firstRowLastColumn="0" w:lastRowFirstColumn="0" w:lastRowLastColumn="0"/>
          <w:wAfter w:w="20" w:type="dxa"/>
          <w:trHeight w:val="136"/>
        </w:trPr>
        <w:tc>
          <w:tcPr>
            <w:tcW w:w="1476" w:type="dxa"/>
            <w:tcBorders>
              <w:bottom w:val="single" w:sz="3" w:space="0" w:color="BFBFBF" w:themeColor="background1" w:themeShade="BF"/>
            </w:tcBorders>
            <w:hideMark/>
          </w:tcPr>
          <w:p w14:paraId="6B684E51" w14:textId="77777777" w:rsidR="00735FA8" w:rsidRPr="000C520A" w:rsidRDefault="00735FA8" w:rsidP="00F65CA3">
            <w:pPr>
              <w:jc w:val="center"/>
              <w:rPr>
                <w:rFonts w:asciiTheme="minorHAnsi" w:hAnsiTheme="minorHAnsi" w:cstheme="minorHAnsi"/>
                <w:sz w:val="18"/>
                <w:szCs w:val="22"/>
              </w:rPr>
            </w:pPr>
            <w:r w:rsidRPr="000C520A">
              <w:rPr>
                <w:rFonts w:asciiTheme="minorHAnsi" w:hAnsiTheme="minorHAnsi" w:cstheme="minorHAnsi"/>
                <w:sz w:val="18"/>
                <w:szCs w:val="22"/>
              </w:rPr>
              <w:t>55</w:t>
            </w:r>
          </w:p>
        </w:tc>
        <w:tc>
          <w:tcPr>
            <w:tcW w:w="2186" w:type="dxa"/>
            <w:tcBorders>
              <w:bottom w:val="single" w:sz="3" w:space="0" w:color="BFBFBF" w:themeColor="background1" w:themeShade="BF"/>
            </w:tcBorders>
            <w:hideMark/>
          </w:tcPr>
          <w:p w14:paraId="1B916B05" w14:textId="17FBEA2A" w:rsidR="00735FA8" w:rsidRPr="000C520A" w:rsidRDefault="00A43911" w:rsidP="00F65CA3">
            <w:pPr>
              <w:jc w:val="center"/>
              <w:rPr>
                <w:rFonts w:asciiTheme="minorHAnsi" w:hAnsiTheme="minorHAnsi" w:cstheme="minorHAnsi"/>
                <w:sz w:val="18"/>
                <w:szCs w:val="22"/>
                <w:highlight w:val="yellow"/>
              </w:rPr>
            </w:pPr>
            <w:r>
              <w:rPr>
                <w:rFonts w:asciiTheme="minorHAnsi" w:hAnsiTheme="minorHAnsi" w:cstheme="minorHAnsi"/>
                <w:sz w:val="18"/>
                <w:szCs w:val="22"/>
              </w:rPr>
              <w:t>-6.60%</w:t>
            </w:r>
          </w:p>
        </w:tc>
        <w:tc>
          <w:tcPr>
            <w:tcW w:w="1630" w:type="dxa"/>
            <w:tcBorders>
              <w:bottom w:val="single" w:sz="3" w:space="0" w:color="BFBFBF" w:themeColor="background1" w:themeShade="BF"/>
            </w:tcBorders>
          </w:tcPr>
          <w:p w14:paraId="45B30A4F" w14:textId="02BD26E6" w:rsidR="00735FA8"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1858" w:type="dxa"/>
            <w:tcBorders>
              <w:bottom w:val="single" w:sz="3" w:space="0" w:color="BFBFBF" w:themeColor="background1" w:themeShade="BF"/>
            </w:tcBorders>
          </w:tcPr>
          <w:p w14:paraId="11522F5D" w14:textId="290C5FDD" w:rsidR="00735FA8"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2118" w:type="dxa"/>
            <w:tcBorders>
              <w:bottom w:val="single" w:sz="3" w:space="0" w:color="BFBFBF" w:themeColor="background1" w:themeShade="BF"/>
            </w:tcBorders>
          </w:tcPr>
          <w:p w14:paraId="4FC5042E" w14:textId="13CFC221" w:rsidR="00735FA8" w:rsidRDefault="00735FA8" w:rsidP="00F65CA3">
            <w:pPr>
              <w:jc w:val="center"/>
              <w:rPr>
                <w:rFonts w:asciiTheme="minorHAnsi" w:hAnsiTheme="minorHAnsi" w:cstheme="minorHAnsi"/>
                <w:sz w:val="18"/>
                <w:szCs w:val="22"/>
              </w:rPr>
            </w:pPr>
            <w:r>
              <w:rPr>
                <w:rFonts w:asciiTheme="minorHAnsi" w:hAnsiTheme="minorHAnsi" w:cstheme="minorHAnsi"/>
                <w:sz w:val="18"/>
                <w:szCs w:val="22"/>
              </w:rPr>
              <w:t>-</w:t>
            </w:r>
          </w:p>
        </w:tc>
      </w:tr>
    </w:tbl>
    <w:p w14:paraId="7533AECD" w14:textId="3C485E2E" w:rsidR="00401375" w:rsidRPr="00A24EE6" w:rsidRDefault="00A24EE6" w:rsidP="00A24EE6">
      <w:pPr>
        <w:pStyle w:val="Heading2"/>
      </w:pPr>
      <w:r w:rsidRPr="00401375">
        <w:rPr>
          <w:szCs w:val="24"/>
        </w:rPr>
        <w:t xml:space="preserve">The </w:t>
      </w:r>
      <w:r>
        <w:rPr>
          <w:szCs w:val="24"/>
        </w:rPr>
        <w:t xml:space="preserve">Cash </w:t>
      </w:r>
      <w:r w:rsidRPr="00401375">
        <w:rPr>
          <w:szCs w:val="24"/>
        </w:rPr>
        <w:t>Lifestyle Strategy</w:t>
      </w:r>
      <w:r w:rsidRPr="00DE461F">
        <w:rPr>
          <w:szCs w:val="24"/>
        </w:rPr>
        <w:t xml:space="preserve"> </w:t>
      </w:r>
    </w:p>
    <w:tbl>
      <w:tblPr>
        <w:tblStyle w:val="bwTable"/>
        <w:tblW w:w="9288" w:type="dxa"/>
        <w:tblInd w:w="572" w:type="dxa"/>
        <w:tblBorders>
          <w:top w:val="single" w:sz="3" w:space="0" w:color="009FE3" w:themeColor="background2"/>
          <w:left w:val="single" w:sz="3" w:space="0" w:color="009FE3" w:themeColor="background2"/>
          <w:bottom w:val="single" w:sz="3" w:space="0" w:color="009FE3" w:themeColor="background2"/>
          <w:right w:val="single" w:sz="3" w:space="0" w:color="009FE3" w:themeColor="background2"/>
          <w:insideH w:val="single" w:sz="3" w:space="0" w:color="009FE3" w:themeColor="background2"/>
          <w:insideV w:val="single" w:sz="3" w:space="0" w:color="009FE3" w:themeColor="background2"/>
        </w:tblBorders>
        <w:tblCellMar>
          <w:top w:w="99" w:type="dxa"/>
          <w:left w:w="99" w:type="dxa"/>
          <w:bottom w:w="99" w:type="dxa"/>
          <w:right w:w="99" w:type="dxa"/>
        </w:tblCellMar>
        <w:tblLook w:val="04A0" w:firstRow="1" w:lastRow="0" w:firstColumn="1" w:lastColumn="0" w:noHBand="0" w:noVBand="1"/>
      </w:tblPr>
      <w:tblGrid>
        <w:gridCol w:w="1482"/>
        <w:gridCol w:w="2127"/>
        <w:gridCol w:w="1649"/>
        <w:gridCol w:w="1876"/>
        <w:gridCol w:w="2134"/>
        <w:gridCol w:w="20"/>
      </w:tblGrid>
      <w:tr w:rsidR="00822CFF" w:rsidRPr="000C520A" w14:paraId="02D603F2" w14:textId="77777777" w:rsidTr="00822CFF">
        <w:trPr>
          <w:cnfStyle w:val="100000000000" w:firstRow="1" w:lastRow="0" w:firstColumn="0" w:lastColumn="0" w:oddVBand="0" w:evenVBand="0" w:oddHBand="0" w:evenHBand="0" w:firstRowFirstColumn="0" w:firstRowLastColumn="0" w:lastRowFirstColumn="0" w:lastRowLastColumn="0"/>
          <w:trHeight w:val="184"/>
        </w:trPr>
        <w:tc>
          <w:tcPr>
            <w:tcW w:w="1482" w:type="dxa"/>
            <w:vMerge w:val="restart"/>
            <w:hideMark/>
          </w:tcPr>
          <w:p w14:paraId="2683BAF1" w14:textId="77777777" w:rsidR="00822CFF" w:rsidRPr="000C520A" w:rsidRDefault="00822CFF" w:rsidP="00F65CA3">
            <w:pPr>
              <w:jc w:val="center"/>
              <w:rPr>
                <w:rFonts w:asciiTheme="minorHAnsi" w:hAnsiTheme="minorHAnsi" w:cstheme="minorHAnsi"/>
                <w:color w:val="009FE3" w:themeColor="background2"/>
                <w:sz w:val="18"/>
                <w:szCs w:val="22"/>
              </w:rPr>
            </w:pPr>
            <w:r w:rsidRPr="000C520A">
              <w:rPr>
                <w:rFonts w:asciiTheme="minorHAnsi" w:hAnsiTheme="minorHAnsi" w:cstheme="minorHAnsi"/>
                <w:color w:val="009FE3" w:themeColor="background2"/>
                <w:sz w:val="18"/>
                <w:szCs w:val="22"/>
              </w:rPr>
              <w:t>Age at start of investment period</w:t>
            </w:r>
          </w:p>
        </w:tc>
        <w:tc>
          <w:tcPr>
            <w:tcW w:w="7806" w:type="dxa"/>
            <w:gridSpan w:val="5"/>
          </w:tcPr>
          <w:p w14:paraId="26A77F93" w14:textId="5FA06536" w:rsidR="00822CFF" w:rsidRPr="000C520A" w:rsidRDefault="00822CFF" w:rsidP="00F65CA3">
            <w:pPr>
              <w:jc w:val="center"/>
              <w:rPr>
                <w:rFonts w:asciiTheme="minorHAnsi" w:hAnsiTheme="minorHAnsi" w:cstheme="minorHAnsi"/>
                <w:color w:val="009FE3" w:themeColor="background2"/>
                <w:sz w:val="18"/>
                <w:szCs w:val="22"/>
              </w:rPr>
            </w:pPr>
            <w:proofErr w:type="spellStart"/>
            <w:r w:rsidRPr="000C520A">
              <w:rPr>
                <w:rFonts w:asciiTheme="minorHAnsi" w:hAnsiTheme="minorHAnsi" w:cstheme="minorHAnsi"/>
                <w:color w:val="009FE3" w:themeColor="background2"/>
                <w:sz w:val="18"/>
                <w:szCs w:val="22"/>
              </w:rPr>
              <w:t>Annualised</w:t>
            </w:r>
            <w:proofErr w:type="spellEnd"/>
            <w:r w:rsidRPr="000C520A">
              <w:rPr>
                <w:rFonts w:asciiTheme="minorHAnsi" w:hAnsiTheme="minorHAnsi" w:cstheme="minorHAnsi"/>
                <w:color w:val="009FE3" w:themeColor="background2"/>
                <w:sz w:val="18"/>
                <w:szCs w:val="22"/>
              </w:rPr>
              <w:t xml:space="preserve"> returns to 31 </w:t>
            </w:r>
            <w:r>
              <w:rPr>
                <w:rFonts w:asciiTheme="minorHAnsi" w:hAnsiTheme="minorHAnsi" w:cstheme="minorHAnsi"/>
                <w:color w:val="009FE3" w:themeColor="background2"/>
                <w:sz w:val="18"/>
                <w:szCs w:val="22"/>
              </w:rPr>
              <w:t>March 2022</w:t>
            </w:r>
            <w:r w:rsidRPr="000C520A">
              <w:rPr>
                <w:rFonts w:asciiTheme="minorHAnsi" w:hAnsiTheme="minorHAnsi" w:cstheme="minorHAnsi"/>
                <w:color w:val="009FE3" w:themeColor="background2"/>
                <w:sz w:val="18"/>
                <w:szCs w:val="22"/>
              </w:rPr>
              <w:t xml:space="preserve"> </w:t>
            </w:r>
          </w:p>
        </w:tc>
      </w:tr>
      <w:tr w:rsidR="00FE2F16" w:rsidRPr="000C520A" w14:paraId="6C71D222" w14:textId="04376134" w:rsidTr="00FE2F16">
        <w:trPr>
          <w:gridAfter w:val="1"/>
          <w:cnfStyle w:val="000000100000" w:firstRow="0" w:lastRow="0" w:firstColumn="0" w:lastColumn="0" w:oddVBand="0" w:evenVBand="0" w:oddHBand="1" w:evenHBand="0" w:firstRowFirstColumn="0" w:firstRowLastColumn="0" w:lastRowFirstColumn="0" w:lastRowLastColumn="0"/>
          <w:wAfter w:w="20" w:type="dxa"/>
          <w:trHeight w:val="19"/>
        </w:trPr>
        <w:tc>
          <w:tcPr>
            <w:tcW w:w="1482" w:type="dxa"/>
            <w:vMerge/>
            <w:hideMark/>
          </w:tcPr>
          <w:p w14:paraId="676210B6" w14:textId="77777777" w:rsidR="00822CFF" w:rsidRPr="000C520A" w:rsidRDefault="00822CFF" w:rsidP="00F65CA3">
            <w:pPr>
              <w:rPr>
                <w:rFonts w:asciiTheme="minorHAnsi" w:hAnsiTheme="minorHAnsi" w:cstheme="minorHAnsi"/>
                <w:color w:val="009FE3" w:themeColor="background2"/>
                <w:sz w:val="18"/>
                <w:szCs w:val="22"/>
              </w:rPr>
            </w:pPr>
          </w:p>
        </w:tc>
        <w:tc>
          <w:tcPr>
            <w:tcW w:w="2127" w:type="dxa"/>
            <w:hideMark/>
          </w:tcPr>
          <w:p w14:paraId="3827FFFE" w14:textId="77777777" w:rsidR="00822CFF" w:rsidRPr="000C520A" w:rsidRDefault="00822CFF" w:rsidP="00F65CA3">
            <w:pPr>
              <w:jc w:val="center"/>
              <w:rPr>
                <w:rFonts w:asciiTheme="minorHAnsi" w:hAnsiTheme="minorHAnsi" w:cstheme="minorHAnsi"/>
                <w:color w:val="009FE3" w:themeColor="background2"/>
                <w:sz w:val="18"/>
                <w:szCs w:val="22"/>
              </w:rPr>
            </w:pPr>
            <w:r w:rsidRPr="000C520A">
              <w:rPr>
                <w:color w:val="009FE3"/>
                <w:sz w:val="18"/>
                <w:szCs w:val="22"/>
              </w:rPr>
              <w:t>1yr net return</w:t>
            </w:r>
          </w:p>
        </w:tc>
        <w:tc>
          <w:tcPr>
            <w:tcW w:w="1649" w:type="dxa"/>
          </w:tcPr>
          <w:p w14:paraId="010826FF" w14:textId="2A2326B9" w:rsidR="00822CFF" w:rsidRPr="000C520A" w:rsidRDefault="00822CFF" w:rsidP="00F65CA3">
            <w:pPr>
              <w:jc w:val="center"/>
              <w:rPr>
                <w:color w:val="009FE3"/>
                <w:sz w:val="18"/>
                <w:szCs w:val="22"/>
              </w:rPr>
            </w:pPr>
            <w:r>
              <w:rPr>
                <w:color w:val="009FE3"/>
                <w:sz w:val="18"/>
                <w:szCs w:val="22"/>
              </w:rPr>
              <w:t>3yr net return</w:t>
            </w:r>
          </w:p>
        </w:tc>
        <w:tc>
          <w:tcPr>
            <w:tcW w:w="1876" w:type="dxa"/>
          </w:tcPr>
          <w:p w14:paraId="30EB086D" w14:textId="21069BC9" w:rsidR="00822CFF" w:rsidRPr="000C520A" w:rsidRDefault="00822CFF" w:rsidP="00F65CA3">
            <w:pPr>
              <w:jc w:val="center"/>
              <w:rPr>
                <w:color w:val="009FE3"/>
                <w:sz w:val="18"/>
                <w:szCs w:val="22"/>
              </w:rPr>
            </w:pPr>
            <w:r>
              <w:rPr>
                <w:color w:val="009FE3"/>
                <w:sz w:val="18"/>
                <w:szCs w:val="22"/>
              </w:rPr>
              <w:t>5yr net return</w:t>
            </w:r>
          </w:p>
        </w:tc>
        <w:tc>
          <w:tcPr>
            <w:tcW w:w="2134" w:type="dxa"/>
          </w:tcPr>
          <w:p w14:paraId="5B98AE2D" w14:textId="2E7D9F48" w:rsidR="00822CFF" w:rsidRPr="000C520A" w:rsidRDefault="00822CFF" w:rsidP="00F65CA3">
            <w:pPr>
              <w:jc w:val="center"/>
              <w:rPr>
                <w:color w:val="009FE3"/>
                <w:sz w:val="18"/>
                <w:szCs w:val="22"/>
              </w:rPr>
            </w:pPr>
            <w:r>
              <w:rPr>
                <w:color w:val="009FE3"/>
                <w:sz w:val="18"/>
                <w:szCs w:val="22"/>
              </w:rPr>
              <w:t>10yr net return</w:t>
            </w:r>
          </w:p>
        </w:tc>
      </w:tr>
      <w:tr w:rsidR="00FE2F16" w:rsidRPr="000C520A" w14:paraId="2BD36EF3" w14:textId="0B5EED96" w:rsidTr="00FE2F16">
        <w:trPr>
          <w:gridAfter w:val="1"/>
          <w:cnfStyle w:val="000000010000" w:firstRow="0" w:lastRow="0" w:firstColumn="0" w:lastColumn="0" w:oddVBand="0" w:evenVBand="0" w:oddHBand="0" w:evenHBand="1" w:firstRowFirstColumn="0" w:firstRowLastColumn="0" w:lastRowFirstColumn="0" w:lastRowLastColumn="0"/>
          <w:wAfter w:w="20" w:type="dxa"/>
          <w:trHeight w:val="129"/>
        </w:trPr>
        <w:tc>
          <w:tcPr>
            <w:tcW w:w="1482" w:type="dxa"/>
            <w:hideMark/>
          </w:tcPr>
          <w:p w14:paraId="65975B5C" w14:textId="77777777" w:rsidR="00822CFF" w:rsidRPr="000C520A" w:rsidRDefault="00822CFF" w:rsidP="00F65CA3">
            <w:pPr>
              <w:jc w:val="center"/>
              <w:rPr>
                <w:rFonts w:asciiTheme="minorHAnsi" w:hAnsiTheme="minorHAnsi" w:cstheme="minorHAnsi"/>
                <w:sz w:val="18"/>
                <w:szCs w:val="22"/>
              </w:rPr>
            </w:pPr>
            <w:r w:rsidRPr="000C520A">
              <w:rPr>
                <w:rFonts w:asciiTheme="minorHAnsi" w:hAnsiTheme="minorHAnsi" w:cstheme="minorHAnsi"/>
                <w:sz w:val="18"/>
                <w:szCs w:val="22"/>
              </w:rPr>
              <w:t>25</w:t>
            </w:r>
          </w:p>
        </w:tc>
        <w:tc>
          <w:tcPr>
            <w:tcW w:w="2127" w:type="dxa"/>
            <w:hideMark/>
          </w:tcPr>
          <w:p w14:paraId="7A98BFBF" w14:textId="29A56FEB" w:rsidR="00822CFF" w:rsidRPr="000C520A" w:rsidRDefault="00A43911" w:rsidP="00F65CA3">
            <w:pPr>
              <w:jc w:val="center"/>
              <w:rPr>
                <w:rFonts w:asciiTheme="minorHAnsi" w:hAnsiTheme="minorHAnsi" w:cstheme="minorHAnsi"/>
                <w:sz w:val="18"/>
                <w:szCs w:val="22"/>
                <w:highlight w:val="yellow"/>
              </w:rPr>
            </w:pPr>
            <w:r>
              <w:rPr>
                <w:rFonts w:asciiTheme="minorHAnsi" w:hAnsiTheme="minorHAnsi" w:cstheme="minorHAnsi"/>
                <w:sz w:val="18"/>
                <w:szCs w:val="22"/>
              </w:rPr>
              <w:t>-6.60%</w:t>
            </w:r>
          </w:p>
        </w:tc>
        <w:tc>
          <w:tcPr>
            <w:tcW w:w="1649" w:type="dxa"/>
          </w:tcPr>
          <w:p w14:paraId="38E280A8" w14:textId="3AA5EC6E" w:rsidR="00822CFF" w:rsidDel="000E5BD4"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1876" w:type="dxa"/>
          </w:tcPr>
          <w:p w14:paraId="2FB86EA3" w14:textId="502BB20F" w:rsidR="00822CFF" w:rsidDel="000E5BD4"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2134" w:type="dxa"/>
          </w:tcPr>
          <w:p w14:paraId="53CD42EC" w14:textId="3DE5A92B" w:rsidR="00822CFF" w:rsidDel="000E5BD4"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r>
      <w:tr w:rsidR="00FE2F16" w:rsidRPr="000C520A" w14:paraId="4E3AAB54" w14:textId="048D30C1" w:rsidTr="00FE2F16">
        <w:trPr>
          <w:gridAfter w:val="1"/>
          <w:cnfStyle w:val="000000100000" w:firstRow="0" w:lastRow="0" w:firstColumn="0" w:lastColumn="0" w:oddVBand="0" w:evenVBand="0" w:oddHBand="1" w:evenHBand="0" w:firstRowFirstColumn="0" w:firstRowLastColumn="0" w:lastRowFirstColumn="0" w:lastRowLastColumn="0"/>
          <w:wAfter w:w="20" w:type="dxa"/>
          <w:trHeight w:val="129"/>
        </w:trPr>
        <w:tc>
          <w:tcPr>
            <w:tcW w:w="1482" w:type="dxa"/>
            <w:tcBorders>
              <w:bottom w:val="single" w:sz="3" w:space="0" w:color="BFBFBF" w:themeColor="background1" w:themeShade="BF"/>
            </w:tcBorders>
            <w:hideMark/>
          </w:tcPr>
          <w:p w14:paraId="69543325" w14:textId="77777777" w:rsidR="00822CFF" w:rsidRPr="000C520A" w:rsidRDefault="00822CFF" w:rsidP="00F65CA3">
            <w:pPr>
              <w:jc w:val="center"/>
              <w:rPr>
                <w:rFonts w:asciiTheme="minorHAnsi" w:hAnsiTheme="minorHAnsi" w:cstheme="minorHAnsi"/>
                <w:sz w:val="18"/>
                <w:szCs w:val="22"/>
              </w:rPr>
            </w:pPr>
            <w:r w:rsidRPr="000C520A">
              <w:rPr>
                <w:rFonts w:asciiTheme="minorHAnsi" w:hAnsiTheme="minorHAnsi" w:cstheme="minorHAnsi"/>
                <w:sz w:val="18"/>
                <w:szCs w:val="22"/>
              </w:rPr>
              <w:t>45</w:t>
            </w:r>
          </w:p>
        </w:tc>
        <w:tc>
          <w:tcPr>
            <w:tcW w:w="2127" w:type="dxa"/>
            <w:tcBorders>
              <w:bottom w:val="single" w:sz="3" w:space="0" w:color="BFBFBF" w:themeColor="background1" w:themeShade="BF"/>
            </w:tcBorders>
            <w:hideMark/>
          </w:tcPr>
          <w:p w14:paraId="5E3B0E99" w14:textId="3F8FFAD9" w:rsidR="00822CFF" w:rsidRPr="000C520A" w:rsidRDefault="00A43911" w:rsidP="00F65CA3">
            <w:pPr>
              <w:jc w:val="center"/>
              <w:rPr>
                <w:rFonts w:asciiTheme="minorHAnsi" w:hAnsiTheme="minorHAnsi" w:cstheme="minorHAnsi"/>
                <w:sz w:val="18"/>
                <w:szCs w:val="22"/>
                <w:highlight w:val="yellow"/>
              </w:rPr>
            </w:pPr>
            <w:r>
              <w:rPr>
                <w:rFonts w:asciiTheme="minorHAnsi" w:hAnsiTheme="minorHAnsi" w:cstheme="minorHAnsi"/>
                <w:sz w:val="18"/>
                <w:szCs w:val="22"/>
              </w:rPr>
              <w:t>-6.60%</w:t>
            </w:r>
          </w:p>
        </w:tc>
        <w:tc>
          <w:tcPr>
            <w:tcW w:w="1649" w:type="dxa"/>
            <w:tcBorders>
              <w:bottom w:val="single" w:sz="3" w:space="0" w:color="BFBFBF" w:themeColor="background1" w:themeShade="BF"/>
            </w:tcBorders>
          </w:tcPr>
          <w:p w14:paraId="7F377AC8" w14:textId="60756F68" w:rsidR="00822CFF"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1876" w:type="dxa"/>
            <w:tcBorders>
              <w:bottom w:val="single" w:sz="3" w:space="0" w:color="BFBFBF" w:themeColor="background1" w:themeShade="BF"/>
            </w:tcBorders>
          </w:tcPr>
          <w:p w14:paraId="2FB87B55" w14:textId="0C051A4A" w:rsidR="00822CFF"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2134" w:type="dxa"/>
            <w:tcBorders>
              <w:bottom w:val="single" w:sz="3" w:space="0" w:color="BFBFBF" w:themeColor="background1" w:themeShade="BF"/>
            </w:tcBorders>
          </w:tcPr>
          <w:p w14:paraId="3794077F" w14:textId="3982A548" w:rsidR="00822CFF"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r>
      <w:tr w:rsidR="00FE2F16" w:rsidRPr="000C520A" w14:paraId="14166205" w14:textId="44F0737F" w:rsidTr="00FE2F16">
        <w:trPr>
          <w:gridAfter w:val="1"/>
          <w:cnfStyle w:val="000000010000" w:firstRow="0" w:lastRow="0" w:firstColumn="0" w:lastColumn="0" w:oddVBand="0" w:evenVBand="0" w:oddHBand="0" w:evenHBand="1" w:firstRowFirstColumn="0" w:firstRowLastColumn="0" w:lastRowFirstColumn="0" w:lastRowLastColumn="0"/>
          <w:wAfter w:w="20" w:type="dxa"/>
          <w:trHeight w:val="136"/>
        </w:trPr>
        <w:tc>
          <w:tcPr>
            <w:tcW w:w="1482" w:type="dxa"/>
            <w:tcBorders>
              <w:bottom w:val="single" w:sz="3" w:space="0" w:color="BFBFBF" w:themeColor="background1" w:themeShade="BF"/>
            </w:tcBorders>
            <w:hideMark/>
          </w:tcPr>
          <w:p w14:paraId="3BCB95E0" w14:textId="77777777" w:rsidR="00822CFF" w:rsidRPr="000C520A" w:rsidRDefault="00822CFF" w:rsidP="00F65CA3">
            <w:pPr>
              <w:jc w:val="center"/>
              <w:rPr>
                <w:rFonts w:asciiTheme="minorHAnsi" w:hAnsiTheme="minorHAnsi" w:cstheme="minorHAnsi"/>
                <w:sz w:val="18"/>
                <w:szCs w:val="22"/>
              </w:rPr>
            </w:pPr>
            <w:r w:rsidRPr="000C520A">
              <w:rPr>
                <w:rFonts w:asciiTheme="minorHAnsi" w:hAnsiTheme="minorHAnsi" w:cstheme="minorHAnsi"/>
                <w:sz w:val="18"/>
                <w:szCs w:val="22"/>
              </w:rPr>
              <w:t>55</w:t>
            </w:r>
          </w:p>
        </w:tc>
        <w:tc>
          <w:tcPr>
            <w:tcW w:w="2127" w:type="dxa"/>
            <w:tcBorders>
              <w:bottom w:val="single" w:sz="3" w:space="0" w:color="BFBFBF" w:themeColor="background1" w:themeShade="BF"/>
            </w:tcBorders>
            <w:hideMark/>
          </w:tcPr>
          <w:p w14:paraId="0C417C7C" w14:textId="70E54023" w:rsidR="00822CFF" w:rsidRPr="000C520A" w:rsidRDefault="00A43911" w:rsidP="00F65CA3">
            <w:pPr>
              <w:jc w:val="center"/>
              <w:rPr>
                <w:rFonts w:asciiTheme="minorHAnsi" w:hAnsiTheme="minorHAnsi" w:cstheme="minorHAnsi"/>
                <w:sz w:val="18"/>
                <w:szCs w:val="22"/>
                <w:highlight w:val="yellow"/>
              </w:rPr>
            </w:pPr>
            <w:r>
              <w:rPr>
                <w:rFonts w:asciiTheme="minorHAnsi" w:hAnsiTheme="minorHAnsi" w:cstheme="minorHAnsi"/>
                <w:sz w:val="18"/>
                <w:szCs w:val="22"/>
              </w:rPr>
              <w:t>-6.60%</w:t>
            </w:r>
          </w:p>
        </w:tc>
        <w:tc>
          <w:tcPr>
            <w:tcW w:w="1649" w:type="dxa"/>
            <w:tcBorders>
              <w:bottom w:val="single" w:sz="3" w:space="0" w:color="BFBFBF" w:themeColor="background1" w:themeShade="BF"/>
            </w:tcBorders>
          </w:tcPr>
          <w:p w14:paraId="38FE22E0" w14:textId="5D2EC379" w:rsidR="00822CFF"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1876" w:type="dxa"/>
            <w:tcBorders>
              <w:bottom w:val="single" w:sz="3" w:space="0" w:color="BFBFBF" w:themeColor="background1" w:themeShade="BF"/>
            </w:tcBorders>
          </w:tcPr>
          <w:p w14:paraId="2E907ED4" w14:textId="3236AD54" w:rsidR="00822CFF"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c>
          <w:tcPr>
            <w:tcW w:w="2134" w:type="dxa"/>
            <w:tcBorders>
              <w:bottom w:val="single" w:sz="3" w:space="0" w:color="BFBFBF" w:themeColor="background1" w:themeShade="BF"/>
            </w:tcBorders>
          </w:tcPr>
          <w:p w14:paraId="578B993D" w14:textId="70B5A605" w:rsidR="00822CFF" w:rsidRDefault="00822CFF" w:rsidP="00F65CA3">
            <w:pPr>
              <w:jc w:val="center"/>
              <w:rPr>
                <w:rFonts w:asciiTheme="minorHAnsi" w:hAnsiTheme="minorHAnsi" w:cstheme="minorHAnsi"/>
                <w:sz w:val="18"/>
                <w:szCs w:val="22"/>
              </w:rPr>
            </w:pPr>
            <w:r>
              <w:rPr>
                <w:rFonts w:asciiTheme="minorHAnsi" w:hAnsiTheme="minorHAnsi" w:cstheme="minorHAnsi"/>
                <w:sz w:val="18"/>
                <w:szCs w:val="22"/>
              </w:rPr>
              <w:t>-</w:t>
            </w:r>
          </w:p>
        </w:tc>
      </w:tr>
    </w:tbl>
    <w:p w14:paraId="00E26B2F" w14:textId="741652B9" w:rsidR="00682FC2" w:rsidRDefault="00682FC2" w:rsidP="00682FC2">
      <w:pPr>
        <w:pStyle w:val="Heading2"/>
        <w:rPr>
          <w:szCs w:val="24"/>
        </w:rPr>
      </w:pPr>
      <w:r w:rsidRPr="00683AF1">
        <w:rPr>
          <w:szCs w:val="24"/>
        </w:rPr>
        <w:t xml:space="preserve">Self-Select </w:t>
      </w:r>
      <w:proofErr w:type="gramStart"/>
      <w:r w:rsidRPr="00683AF1">
        <w:rPr>
          <w:szCs w:val="24"/>
        </w:rPr>
        <w:t>funds</w:t>
      </w:r>
      <w:proofErr w:type="gramEnd"/>
    </w:p>
    <w:tbl>
      <w:tblPr>
        <w:tblStyle w:val="bwTable"/>
        <w:tblW w:w="9786" w:type="dxa"/>
        <w:tblInd w:w="-5" w:type="dxa"/>
        <w:tblLayout w:type="fixed"/>
        <w:tblLook w:val="0000" w:firstRow="0" w:lastRow="0" w:firstColumn="0" w:lastColumn="0" w:noHBand="0" w:noVBand="0"/>
      </w:tblPr>
      <w:tblGrid>
        <w:gridCol w:w="2132"/>
        <w:gridCol w:w="2126"/>
        <w:gridCol w:w="1559"/>
        <w:gridCol w:w="1985"/>
        <w:gridCol w:w="1984"/>
      </w:tblGrid>
      <w:tr w:rsidR="00822CFF" w14:paraId="4BD818FF" w14:textId="2A5E140E" w:rsidTr="00FE2F16">
        <w:trPr>
          <w:cnfStyle w:val="000000100000" w:firstRow="0" w:lastRow="0" w:firstColumn="0" w:lastColumn="0" w:oddVBand="0" w:evenVBand="0" w:oddHBand="1" w:evenHBand="0" w:firstRowFirstColumn="0" w:firstRowLastColumn="0" w:lastRowFirstColumn="0" w:lastRowLastColumn="0"/>
          <w:trHeight w:val="110"/>
        </w:trPr>
        <w:tc>
          <w:tcPr>
            <w:tcW w:w="2132" w:type="dxa"/>
            <w:tcBorders>
              <w:top w:val="single" w:sz="4" w:space="0" w:color="009FE3"/>
              <w:bottom w:val="single" w:sz="4" w:space="0" w:color="009FE3"/>
            </w:tcBorders>
          </w:tcPr>
          <w:p w14:paraId="3EFD746A" w14:textId="77777777" w:rsidR="002E057D" w:rsidRPr="00142844" w:rsidRDefault="002E057D" w:rsidP="00F65CA3">
            <w:pPr>
              <w:pStyle w:val="Default"/>
              <w:rPr>
                <w:color w:val="009FE3" w:themeColor="background2"/>
                <w:sz w:val="20"/>
                <w:szCs w:val="20"/>
              </w:rPr>
            </w:pPr>
            <w:r w:rsidRPr="00142844">
              <w:rPr>
                <w:color w:val="009FE3" w:themeColor="background2"/>
                <w:sz w:val="20"/>
                <w:szCs w:val="20"/>
              </w:rPr>
              <w:t xml:space="preserve">Description </w:t>
            </w:r>
          </w:p>
        </w:tc>
        <w:tc>
          <w:tcPr>
            <w:tcW w:w="2126" w:type="dxa"/>
            <w:tcBorders>
              <w:top w:val="single" w:sz="4" w:space="0" w:color="009FE3"/>
              <w:bottom w:val="single" w:sz="4" w:space="0" w:color="009FE3"/>
            </w:tcBorders>
          </w:tcPr>
          <w:p w14:paraId="5630BDDC" w14:textId="28758FDB" w:rsidR="002E057D" w:rsidRPr="00142844" w:rsidRDefault="002E057D" w:rsidP="00142844">
            <w:pPr>
              <w:pStyle w:val="Default"/>
              <w:jc w:val="center"/>
              <w:rPr>
                <w:color w:val="009FE3" w:themeColor="background2"/>
                <w:sz w:val="20"/>
                <w:szCs w:val="20"/>
              </w:rPr>
            </w:pPr>
            <w:r w:rsidRPr="00142844">
              <w:rPr>
                <w:color w:val="009FE3" w:themeColor="background2"/>
                <w:sz w:val="20"/>
                <w:szCs w:val="20"/>
              </w:rPr>
              <w:t>1 Year (</w:t>
            </w:r>
            <w:r>
              <w:rPr>
                <w:color w:val="009FE3" w:themeColor="background2"/>
                <w:sz w:val="20"/>
                <w:szCs w:val="20"/>
              </w:rPr>
              <w:t>%</w:t>
            </w:r>
            <w:r w:rsidRPr="00142844">
              <w:rPr>
                <w:color w:val="009FE3" w:themeColor="background2"/>
                <w:sz w:val="20"/>
                <w:szCs w:val="20"/>
              </w:rPr>
              <w:t>)</w:t>
            </w:r>
          </w:p>
        </w:tc>
        <w:tc>
          <w:tcPr>
            <w:tcW w:w="0" w:type="dxa"/>
            <w:tcBorders>
              <w:top w:val="single" w:sz="4" w:space="0" w:color="009FE3"/>
              <w:bottom w:val="single" w:sz="4" w:space="0" w:color="009FE3"/>
            </w:tcBorders>
          </w:tcPr>
          <w:p w14:paraId="26F0803C" w14:textId="4F2696F8" w:rsidR="002E057D" w:rsidRPr="00142844" w:rsidRDefault="002E057D" w:rsidP="00142844">
            <w:pPr>
              <w:pStyle w:val="Default"/>
              <w:jc w:val="center"/>
              <w:rPr>
                <w:color w:val="009FE3" w:themeColor="background2"/>
                <w:sz w:val="20"/>
                <w:szCs w:val="20"/>
              </w:rPr>
            </w:pPr>
            <w:r w:rsidRPr="00142844">
              <w:rPr>
                <w:color w:val="009FE3" w:themeColor="background2"/>
                <w:sz w:val="20"/>
                <w:szCs w:val="20"/>
              </w:rPr>
              <w:t>3 Years (</w:t>
            </w:r>
            <w:r>
              <w:rPr>
                <w:color w:val="009FE3" w:themeColor="background2"/>
                <w:sz w:val="20"/>
                <w:szCs w:val="20"/>
              </w:rPr>
              <w:t xml:space="preserve">% </w:t>
            </w:r>
            <w:proofErr w:type="spellStart"/>
            <w:r w:rsidRPr="00142844">
              <w:rPr>
                <w:color w:val="009FE3" w:themeColor="background2"/>
                <w:sz w:val="20"/>
                <w:szCs w:val="20"/>
              </w:rPr>
              <w:t>p.a</w:t>
            </w:r>
            <w:proofErr w:type="spellEnd"/>
            <w:r w:rsidRPr="00142844">
              <w:rPr>
                <w:color w:val="009FE3" w:themeColor="background2"/>
                <w:sz w:val="20"/>
                <w:szCs w:val="20"/>
              </w:rPr>
              <w:t>)</w:t>
            </w:r>
          </w:p>
        </w:tc>
        <w:tc>
          <w:tcPr>
            <w:tcW w:w="0" w:type="dxa"/>
            <w:tcBorders>
              <w:top w:val="single" w:sz="4" w:space="0" w:color="009FE3"/>
              <w:bottom w:val="single" w:sz="4" w:space="0" w:color="009FE3"/>
            </w:tcBorders>
          </w:tcPr>
          <w:p w14:paraId="73743311" w14:textId="7B1498CF" w:rsidR="002E057D" w:rsidRPr="00142844" w:rsidRDefault="002E057D" w:rsidP="00142844">
            <w:pPr>
              <w:pStyle w:val="Default"/>
              <w:jc w:val="center"/>
              <w:rPr>
                <w:color w:val="009FE3" w:themeColor="background2"/>
                <w:sz w:val="20"/>
                <w:szCs w:val="20"/>
              </w:rPr>
            </w:pPr>
            <w:r w:rsidRPr="00142844">
              <w:rPr>
                <w:color w:val="009FE3" w:themeColor="background2"/>
                <w:sz w:val="20"/>
                <w:szCs w:val="20"/>
              </w:rPr>
              <w:t>5 Years (</w:t>
            </w:r>
            <w:r>
              <w:rPr>
                <w:color w:val="009FE3" w:themeColor="background2"/>
                <w:sz w:val="20"/>
                <w:szCs w:val="20"/>
              </w:rPr>
              <w:t xml:space="preserve">% </w:t>
            </w:r>
            <w:proofErr w:type="spellStart"/>
            <w:r w:rsidRPr="00142844">
              <w:rPr>
                <w:color w:val="009FE3" w:themeColor="background2"/>
                <w:sz w:val="20"/>
                <w:szCs w:val="20"/>
              </w:rPr>
              <w:t>p.a</w:t>
            </w:r>
            <w:proofErr w:type="spellEnd"/>
            <w:r w:rsidRPr="00142844">
              <w:rPr>
                <w:color w:val="009FE3" w:themeColor="background2"/>
                <w:sz w:val="20"/>
                <w:szCs w:val="20"/>
              </w:rPr>
              <w:t>)</w:t>
            </w:r>
          </w:p>
        </w:tc>
        <w:tc>
          <w:tcPr>
            <w:tcW w:w="0" w:type="dxa"/>
            <w:tcBorders>
              <w:top w:val="single" w:sz="4" w:space="0" w:color="009FE3"/>
              <w:bottom w:val="single" w:sz="4" w:space="0" w:color="009FE3"/>
            </w:tcBorders>
          </w:tcPr>
          <w:p w14:paraId="76342E75" w14:textId="2F0E696E" w:rsidR="002E057D" w:rsidRPr="00142844" w:rsidRDefault="00822CFF" w:rsidP="00142844">
            <w:pPr>
              <w:pStyle w:val="Default"/>
              <w:jc w:val="center"/>
              <w:rPr>
                <w:color w:val="009FE3" w:themeColor="background2"/>
                <w:sz w:val="20"/>
                <w:szCs w:val="20"/>
              </w:rPr>
            </w:pPr>
            <w:r>
              <w:rPr>
                <w:color w:val="009FE3" w:themeColor="background2"/>
                <w:sz w:val="20"/>
                <w:szCs w:val="20"/>
              </w:rPr>
              <w:t>10 Years (% p.a.)</w:t>
            </w:r>
          </w:p>
        </w:tc>
      </w:tr>
      <w:tr w:rsidR="00822CFF" w14:paraId="52C66A87" w14:textId="4AE72262" w:rsidTr="00FE2F16">
        <w:trPr>
          <w:cnfStyle w:val="000000010000" w:firstRow="0" w:lastRow="0" w:firstColumn="0" w:lastColumn="0" w:oddVBand="0" w:evenVBand="0" w:oddHBand="0" w:evenHBand="1" w:firstRowFirstColumn="0" w:firstRowLastColumn="0" w:lastRowFirstColumn="0" w:lastRowLastColumn="0"/>
          <w:trHeight w:val="44"/>
        </w:trPr>
        <w:tc>
          <w:tcPr>
            <w:tcW w:w="2132" w:type="dxa"/>
            <w:tcBorders>
              <w:top w:val="single" w:sz="4" w:space="0" w:color="009FE3"/>
            </w:tcBorders>
          </w:tcPr>
          <w:p w14:paraId="3C43D85C"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AM Ethical Equity (BLK) Class P </w:t>
            </w:r>
          </w:p>
        </w:tc>
        <w:tc>
          <w:tcPr>
            <w:tcW w:w="2126" w:type="dxa"/>
            <w:tcBorders>
              <w:top w:val="single" w:sz="4" w:space="0" w:color="009FE3"/>
            </w:tcBorders>
          </w:tcPr>
          <w:p w14:paraId="11D02694" w14:textId="25DA6525"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r w:rsidR="005157C9">
              <w:rPr>
                <w:rFonts w:asciiTheme="majorHAnsi" w:hAnsiTheme="majorHAnsi" w:cstheme="majorHAnsi"/>
                <w:sz w:val="20"/>
                <w:szCs w:val="20"/>
              </w:rPr>
              <w:t>8.70</w:t>
            </w:r>
          </w:p>
        </w:tc>
        <w:tc>
          <w:tcPr>
            <w:tcW w:w="0" w:type="dxa"/>
            <w:tcBorders>
              <w:top w:val="single" w:sz="4" w:space="0" w:color="009FE3"/>
            </w:tcBorders>
          </w:tcPr>
          <w:p w14:paraId="7964B77B" w14:textId="4666FB9B"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6.</w:t>
            </w:r>
            <w:r w:rsidR="005157C9">
              <w:rPr>
                <w:rFonts w:asciiTheme="majorHAnsi" w:hAnsiTheme="majorHAnsi" w:cstheme="majorHAnsi"/>
                <w:sz w:val="20"/>
                <w:szCs w:val="20"/>
              </w:rPr>
              <w:t>39</w:t>
            </w:r>
          </w:p>
        </w:tc>
        <w:tc>
          <w:tcPr>
            <w:tcW w:w="0" w:type="dxa"/>
            <w:tcBorders>
              <w:top w:val="single" w:sz="4" w:space="0" w:color="009FE3"/>
            </w:tcBorders>
          </w:tcPr>
          <w:p w14:paraId="27DFE0F9" w14:textId="77CF47DD"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1.01</w:t>
            </w:r>
          </w:p>
        </w:tc>
        <w:tc>
          <w:tcPr>
            <w:tcW w:w="0" w:type="dxa"/>
            <w:tcBorders>
              <w:top w:val="single" w:sz="4" w:space="0" w:color="009FE3"/>
            </w:tcBorders>
          </w:tcPr>
          <w:p w14:paraId="201EE863" w14:textId="15D2BD9D"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4.41</w:t>
            </w:r>
          </w:p>
        </w:tc>
      </w:tr>
      <w:tr w:rsidR="00822CFF" w14:paraId="2F02FD09" w14:textId="5CC5EF30"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20F18E1E"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Cash (BLK) Class H </w:t>
            </w:r>
          </w:p>
        </w:tc>
        <w:tc>
          <w:tcPr>
            <w:tcW w:w="2126" w:type="dxa"/>
          </w:tcPr>
          <w:p w14:paraId="6DE5DCE7" w14:textId="6604F254" w:rsidR="002E057D" w:rsidRPr="00142844" w:rsidRDefault="000E5BD4" w:rsidP="00142844">
            <w:pPr>
              <w:pStyle w:val="Default"/>
              <w:jc w:val="center"/>
              <w:rPr>
                <w:rFonts w:asciiTheme="majorHAnsi" w:hAnsiTheme="majorHAnsi" w:cstheme="majorHAnsi"/>
                <w:sz w:val="20"/>
                <w:szCs w:val="20"/>
              </w:rPr>
            </w:pPr>
            <w:r>
              <w:rPr>
                <w:rFonts w:asciiTheme="majorHAnsi" w:hAnsiTheme="majorHAnsi" w:cstheme="majorHAnsi"/>
                <w:sz w:val="20"/>
                <w:szCs w:val="20"/>
              </w:rPr>
              <w:t>-2.04</w:t>
            </w:r>
          </w:p>
        </w:tc>
        <w:tc>
          <w:tcPr>
            <w:tcW w:w="1559" w:type="dxa"/>
          </w:tcPr>
          <w:p w14:paraId="2658791D" w14:textId="66D162E5"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0.</w:t>
            </w:r>
            <w:r w:rsidR="000E5BD4">
              <w:rPr>
                <w:rFonts w:asciiTheme="majorHAnsi" w:hAnsiTheme="majorHAnsi" w:cstheme="majorHAnsi"/>
                <w:sz w:val="20"/>
                <w:szCs w:val="20"/>
              </w:rPr>
              <w:t>66</w:t>
            </w:r>
          </w:p>
        </w:tc>
        <w:tc>
          <w:tcPr>
            <w:tcW w:w="1985" w:type="dxa"/>
          </w:tcPr>
          <w:p w14:paraId="2B2B164B" w14:textId="09CBD7FE"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0.</w:t>
            </w:r>
            <w:r w:rsidR="000E5BD4">
              <w:rPr>
                <w:rFonts w:asciiTheme="majorHAnsi" w:hAnsiTheme="majorHAnsi" w:cstheme="majorHAnsi"/>
                <w:sz w:val="20"/>
                <w:szCs w:val="20"/>
              </w:rPr>
              <w:t>64</w:t>
            </w:r>
          </w:p>
        </w:tc>
        <w:tc>
          <w:tcPr>
            <w:tcW w:w="1984" w:type="dxa"/>
          </w:tcPr>
          <w:p w14:paraId="3075DA62" w14:textId="5F5FFE9F" w:rsidR="002E057D" w:rsidRPr="00142844" w:rsidRDefault="000E5BD4" w:rsidP="00142844">
            <w:pPr>
              <w:pStyle w:val="Default"/>
              <w:jc w:val="center"/>
              <w:rPr>
                <w:rFonts w:asciiTheme="majorHAnsi" w:hAnsiTheme="majorHAnsi" w:cstheme="majorHAnsi"/>
                <w:sz w:val="20"/>
                <w:szCs w:val="20"/>
              </w:rPr>
            </w:pPr>
            <w:r>
              <w:rPr>
                <w:rFonts w:asciiTheme="majorHAnsi" w:hAnsiTheme="majorHAnsi" w:cstheme="majorHAnsi"/>
                <w:sz w:val="20"/>
                <w:szCs w:val="20"/>
              </w:rPr>
              <w:t>0.48</w:t>
            </w:r>
          </w:p>
        </w:tc>
      </w:tr>
      <w:tr w:rsidR="00822CFF" w14:paraId="496CBD8E" w14:textId="3447A231"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20B2082E" w14:textId="0310F6BA"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w:t>
            </w:r>
            <w:r w:rsidR="00BE6A1A">
              <w:rPr>
                <w:rFonts w:asciiTheme="majorHAnsi" w:hAnsiTheme="majorHAnsi" w:cstheme="majorHAnsi"/>
                <w:sz w:val="20"/>
                <w:szCs w:val="20"/>
              </w:rPr>
              <w:t xml:space="preserve">Dynamic </w:t>
            </w:r>
            <w:r w:rsidRPr="00142844">
              <w:rPr>
                <w:rFonts w:asciiTheme="majorHAnsi" w:hAnsiTheme="majorHAnsi" w:cstheme="majorHAnsi"/>
                <w:sz w:val="20"/>
                <w:szCs w:val="20"/>
              </w:rPr>
              <w:t xml:space="preserve">Diversified Growth (BLK) Class T </w:t>
            </w:r>
          </w:p>
        </w:tc>
        <w:tc>
          <w:tcPr>
            <w:tcW w:w="2126" w:type="dxa"/>
          </w:tcPr>
          <w:p w14:paraId="68F0923E" w14:textId="6C29D4DB"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2.91</w:t>
            </w:r>
          </w:p>
        </w:tc>
        <w:tc>
          <w:tcPr>
            <w:tcW w:w="1559" w:type="dxa"/>
          </w:tcPr>
          <w:p w14:paraId="702743F0" w14:textId="1BD7CE7F"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4.</w:t>
            </w:r>
            <w:r w:rsidR="00BE6A1A">
              <w:rPr>
                <w:rFonts w:asciiTheme="majorHAnsi" w:hAnsiTheme="majorHAnsi" w:cstheme="majorHAnsi"/>
                <w:sz w:val="20"/>
                <w:szCs w:val="20"/>
              </w:rPr>
              <w:t>7</w:t>
            </w:r>
            <w:r w:rsidR="00BE6A1A" w:rsidRPr="00142844">
              <w:rPr>
                <w:rFonts w:asciiTheme="majorHAnsi" w:hAnsiTheme="majorHAnsi" w:cstheme="majorHAnsi"/>
                <w:sz w:val="20"/>
                <w:szCs w:val="20"/>
              </w:rPr>
              <w:t>5</w:t>
            </w:r>
          </w:p>
        </w:tc>
        <w:tc>
          <w:tcPr>
            <w:tcW w:w="1985" w:type="dxa"/>
          </w:tcPr>
          <w:p w14:paraId="2D665236" w14:textId="41199835"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2.68</w:t>
            </w:r>
          </w:p>
        </w:tc>
        <w:tc>
          <w:tcPr>
            <w:tcW w:w="1984" w:type="dxa"/>
          </w:tcPr>
          <w:p w14:paraId="3B25FB4E" w14:textId="651155EE"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2.69</w:t>
            </w:r>
          </w:p>
        </w:tc>
      </w:tr>
      <w:tr w:rsidR="00822CFF" w14:paraId="28AE0777" w14:textId="3B26C072"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6BB0C58D"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Emerging Markets Equity Index (BLK) Class I5 </w:t>
            </w:r>
          </w:p>
        </w:tc>
        <w:tc>
          <w:tcPr>
            <w:tcW w:w="2126" w:type="dxa"/>
          </w:tcPr>
          <w:p w14:paraId="7797B1AC" w14:textId="0DF0FA54"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r w:rsidR="00BE6A1A">
              <w:rPr>
                <w:rFonts w:asciiTheme="majorHAnsi" w:hAnsiTheme="majorHAnsi" w:cstheme="majorHAnsi"/>
                <w:sz w:val="20"/>
                <w:szCs w:val="20"/>
              </w:rPr>
              <w:t>6.59</w:t>
            </w:r>
          </w:p>
        </w:tc>
        <w:tc>
          <w:tcPr>
            <w:tcW w:w="1559" w:type="dxa"/>
          </w:tcPr>
          <w:p w14:paraId="118812A4" w14:textId="70C03085"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7.97</w:t>
            </w:r>
          </w:p>
        </w:tc>
        <w:tc>
          <w:tcPr>
            <w:tcW w:w="1985" w:type="dxa"/>
          </w:tcPr>
          <w:p w14:paraId="2C3FDA7F" w14:textId="18124D83"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1.36</w:t>
            </w:r>
          </w:p>
        </w:tc>
        <w:tc>
          <w:tcPr>
            <w:tcW w:w="1984" w:type="dxa"/>
          </w:tcPr>
          <w:p w14:paraId="58B19879" w14:textId="0B15B3C0"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w:t>
            </w:r>
          </w:p>
        </w:tc>
      </w:tr>
      <w:tr w:rsidR="00822CFF" w14:paraId="30666613" w14:textId="3033499A"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37612517"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lastRenderedPageBreak/>
              <w:t xml:space="preserve">Aegon BlackRock European Equity Index (BLK) Class K </w:t>
            </w:r>
          </w:p>
        </w:tc>
        <w:tc>
          <w:tcPr>
            <w:tcW w:w="2126" w:type="dxa"/>
          </w:tcPr>
          <w:p w14:paraId="24D8BA6D" w14:textId="11346359" w:rsidR="002E057D" w:rsidRPr="00142844" w:rsidRDefault="002E057D" w:rsidP="00142844">
            <w:pPr>
              <w:pStyle w:val="Default"/>
              <w:jc w:val="center"/>
              <w:rPr>
                <w:rFonts w:asciiTheme="majorHAnsi" w:hAnsiTheme="majorHAnsi" w:cstheme="majorHAnsi"/>
                <w:sz w:val="20"/>
                <w:szCs w:val="20"/>
              </w:rPr>
            </w:pPr>
            <w:r>
              <w:rPr>
                <w:rFonts w:asciiTheme="majorHAnsi" w:hAnsiTheme="majorHAnsi" w:cstheme="majorHAnsi"/>
                <w:sz w:val="20"/>
                <w:szCs w:val="20"/>
              </w:rPr>
              <w:t>7.72</w:t>
            </w:r>
          </w:p>
        </w:tc>
        <w:tc>
          <w:tcPr>
            <w:tcW w:w="1559" w:type="dxa"/>
          </w:tcPr>
          <w:p w14:paraId="29749D9F" w14:textId="21D40F1F" w:rsidR="002E057D" w:rsidRPr="00142844" w:rsidRDefault="002E057D" w:rsidP="00142844">
            <w:pPr>
              <w:pStyle w:val="Default"/>
              <w:jc w:val="center"/>
              <w:rPr>
                <w:rFonts w:asciiTheme="majorHAnsi" w:hAnsiTheme="majorHAnsi" w:cstheme="majorHAnsi"/>
                <w:sz w:val="20"/>
                <w:szCs w:val="20"/>
              </w:rPr>
            </w:pPr>
            <w:r>
              <w:rPr>
                <w:rFonts w:asciiTheme="majorHAnsi" w:hAnsiTheme="majorHAnsi" w:cstheme="majorHAnsi"/>
                <w:sz w:val="20"/>
                <w:szCs w:val="20"/>
              </w:rPr>
              <w:t>15.40</w:t>
            </w:r>
          </w:p>
        </w:tc>
        <w:tc>
          <w:tcPr>
            <w:tcW w:w="1985" w:type="dxa"/>
          </w:tcPr>
          <w:p w14:paraId="79CFB52D" w14:textId="5F54DE2B" w:rsidR="002E057D" w:rsidRPr="00142844" w:rsidRDefault="002E057D" w:rsidP="00142844">
            <w:pPr>
              <w:pStyle w:val="Default"/>
              <w:jc w:val="center"/>
              <w:rPr>
                <w:rFonts w:asciiTheme="majorHAnsi" w:hAnsiTheme="majorHAnsi" w:cstheme="majorHAnsi"/>
                <w:sz w:val="20"/>
                <w:szCs w:val="20"/>
              </w:rPr>
            </w:pPr>
            <w:r>
              <w:rPr>
                <w:rFonts w:asciiTheme="majorHAnsi" w:hAnsiTheme="majorHAnsi" w:cstheme="majorHAnsi"/>
                <w:sz w:val="20"/>
                <w:szCs w:val="20"/>
              </w:rPr>
              <w:t>7.70</w:t>
            </w:r>
          </w:p>
        </w:tc>
        <w:tc>
          <w:tcPr>
            <w:tcW w:w="1984" w:type="dxa"/>
          </w:tcPr>
          <w:p w14:paraId="3A9B6526" w14:textId="686455AF" w:rsidR="002E057D" w:rsidRPr="00142844" w:rsidRDefault="002E057D" w:rsidP="00142844">
            <w:pPr>
              <w:pStyle w:val="Default"/>
              <w:jc w:val="center"/>
              <w:rPr>
                <w:rFonts w:asciiTheme="majorHAnsi" w:hAnsiTheme="majorHAnsi" w:cstheme="majorHAnsi"/>
                <w:sz w:val="20"/>
                <w:szCs w:val="20"/>
              </w:rPr>
            </w:pPr>
            <w:r>
              <w:rPr>
                <w:rFonts w:asciiTheme="majorHAnsi" w:hAnsiTheme="majorHAnsi" w:cstheme="majorHAnsi"/>
                <w:sz w:val="20"/>
                <w:szCs w:val="20"/>
              </w:rPr>
              <w:t>8.78</w:t>
            </w:r>
          </w:p>
        </w:tc>
      </w:tr>
      <w:tr w:rsidR="00822CFF" w14:paraId="4F947197" w14:textId="7684323A"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6366C1F0"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Index-Linked Gilt (BLK) Class I5 </w:t>
            </w:r>
          </w:p>
        </w:tc>
        <w:tc>
          <w:tcPr>
            <w:tcW w:w="2126" w:type="dxa"/>
          </w:tcPr>
          <w:p w14:paraId="782B089F" w14:textId="55DC0384"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-30.55</w:t>
            </w:r>
          </w:p>
        </w:tc>
        <w:tc>
          <w:tcPr>
            <w:tcW w:w="1559" w:type="dxa"/>
          </w:tcPr>
          <w:p w14:paraId="25F6C64E" w14:textId="747FCE5E"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-9.38</w:t>
            </w:r>
          </w:p>
        </w:tc>
        <w:tc>
          <w:tcPr>
            <w:tcW w:w="1985" w:type="dxa"/>
          </w:tcPr>
          <w:p w14:paraId="072272A2" w14:textId="674451E9"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p>
        </w:tc>
        <w:tc>
          <w:tcPr>
            <w:tcW w:w="1984" w:type="dxa"/>
          </w:tcPr>
          <w:p w14:paraId="4887C997" w14:textId="77777777" w:rsidR="002E057D" w:rsidRPr="00142844" w:rsidRDefault="002E057D" w:rsidP="00142844">
            <w:pPr>
              <w:pStyle w:val="Default"/>
              <w:jc w:val="center"/>
              <w:rPr>
                <w:rFonts w:asciiTheme="majorHAnsi" w:hAnsiTheme="majorHAnsi" w:cstheme="majorHAnsi"/>
                <w:sz w:val="20"/>
                <w:szCs w:val="20"/>
              </w:rPr>
            </w:pPr>
          </w:p>
        </w:tc>
      </w:tr>
      <w:tr w:rsidR="00822CFF" w14:paraId="1736C937" w14:textId="1C4D7CB3"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0CD6854D"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Japanese Equity Index (BLK) Class K </w:t>
            </w:r>
          </w:p>
        </w:tc>
        <w:tc>
          <w:tcPr>
            <w:tcW w:w="2126" w:type="dxa"/>
          </w:tcPr>
          <w:p w14:paraId="1CC48D7A" w14:textId="661CF02C"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1.77</w:t>
            </w:r>
          </w:p>
        </w:tc>
        <w:tc>
          <w:tcPr>
            <w:tcW w:w="1559" w:type="dxa"/>
          </w:tcPr>
          <w:p w14:paraId="3B744522" w14:textId="7F36A3EB"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7.80</w:t>
            </w:r>
          </w:p>
        </w:tc>
        <w:tc>
          <w:tcPr>
            <w:tcW w:w="1985" w:type="dxa"/>
          </w:tcPr>
          <w:p w14:paraId="768CEB96" w14:textId="6E3B69B3"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3.92</w:t>
            </w:r>
          </w:p>
        </w:tc>
        <w:tc>
          <w:tcPr>
            <w:tcW w:w="1984" w:type="dxa"/>
          </w:tcPr>
          <w:p w14:paraId="63B5A682" w14:textId="45BAA31B"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7.55</w:t>
            </w:r>
          </w:p>
        </w:tc>
      </w:tr>
      <w:tr w:rsidR="00822CFF" w14:paraId="1ABD8EC0" w14:textId="4AC1AE01"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2BD1EFDD"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Long Gilt (BLK) Class I5 </w:t>
            </w:r>
          </w:p>
        </w:tc>
        <w:tc>
          <w:tcPr>
            <w:tcW w:w="2126" w:type="dxa"/>
          </w:tcPr>
          <w:p w14:paraId="2FEBC38F" w14:textId="7852F7A1"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r w:rsidR="00BE6A1A">
              <w:rPr>
                <w:rFonts w:asciiTheme="majorHAnsi" w:hAnsiTheme="majorHAnsi" w:cstheme="majorHAnsi"/>
                <w:sz w:val="20"/>
                <w:szCs w:val="20"/>
              </w:rPr>
              <w:t>29.84</w:t>
            </w:r>
          </w:p>
        </w:tc>
        <w:tc>
          <w:tcPr>
            <w:tcW w:w="1559" w:type="dxa"/>
          </w:tcPr>
          <w:p w14:paraId="02BA095D" w14:textId="34C2DBDC"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r w:rsidR="00BE6A1A">
              <w:rPr>
                <w:rFonts w:asciiTheme="majorHAnsi" w:hAnsiTheme="majorHAnsi" w:cstheme="majorHAnsi"/>
                <w:sz w:val="20"/>
                <w:szCs w:val="20"/>
              </w:rPr>
              <w:t>16.53</w:t>
            </w:r>
          </w:p>
        </w:tc>
        <w:tc>
          <w:tcPr>
            <w:tcW w:w="1985" w:type="dxa"/>
          </w:tcPr>
          <w:p w14:paraId="3605E20B" w14:textId="0A6D94BF"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p>
        </w:tc>
        <w:tc>
          <w:tcPr>
            <w:tcW w:w="1984" w:type="dxa"/>
          </w:tcPr>
          <w:p w14:paraId="033D41F8" w14:textId="77777777" w:rsidR="002E057D" w:rsidRPr="00142844" w:rsidRDefault="002E057D" w:rsidP="00142844">
            <w:pPr>
              <w:pStyle w:val="Default"/>
              <w:jc w:val="center"/>
              <w:rPr>
                <w:rFonts w:asciiTheme="majorHAnsi" w:hAnsiTheme="majorHAnsi" w:cstheme="majorHAnsi"/>
                <w:sz w:val="20"/>
                <w:szCs w:val="20"/>
              </w:rPr>
            </w:pPr>
          </w:p>
        </w:tc>
      </w:tr>
      <w:tr w:rsidR="00822CFF" w14:paraId="59142040" w14:textId="60188642"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751A228E"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MSCI Currency Hedged World Index (BLK) Class I4 </w:t>
            </w:r>
          </w:p>
        </w:tc>
        <w:tc>
          <w:tcPr>
            <w:tcW w:w="2126" w:type="dxa"/>
          </w:tcPr>
          <w:p w14:paraId="06AC9461" w14:textId="21F2C238" w:rsidR="002E057D" w:rsidRPr="00142844" w:rsidRDefault="000E5BD4" w:rsidP="00142844">
            <w:pPr>
              <w:pStyle w:val="Default"/>
              <w:jc w:val="center"/>
              <w:rPr>
                <w:rFonts w:asciiTheme="majorHAnsi" w:hAnsiTheme="majorHAnsi" w:cstheme="majorHAnsi"/>
                <w:sz w:val="20"/>
                <w:szCs w:val="20"/>
              </w:rPr>
            </w:pPr>
            <w:r>
              <w:rPr>
                <w:rFonts w:asciiTheme="majorHAnsi" w:hAnsiTheme="majorHAnsi" w:cstheme="majorHAnsi"/>
                <w:sz w:val="20"/>
                <w:szCs w:val="20"/>
              </w:rPr>
              <w:t>-6.64</w:t>
            </w:r>
          </w:p>
        </w:tc>
        <w:tc>
          <w:tcPr>
            <w:tcW w:w="1559" w:type="dxa"/>
          </w:tcPr>
          <w:p w14:paraId="25C50B35" w14:textId="1F255CE3"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p>
        </w:tc>
        <w:tc>
          <w:tcPr>
            <w:tcW w:w="1985" w:type="dxa"/>
          </w:tcPr>
          <w:p w14:paraId="134BAC0D" w14:textId="776942F5"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p>
        </w:tc>
        <w:tc>
          <w:tcPr>
            <w:tcW w:w="1984" w:type="dxa"/>
          </w:tcPr>
          <w:p w14:paraId="27E3708A" w14:textId="77777777" w:rsidR="002E057D" w:rsidRPr="00142844" w:rsidRDefault="002E057D" w:rsidP="00142844">
            <w:pPr>
              <w:pStyle w:val="Default"/>
              <w:jc w:val="center"/>
              <w:rPr>
                <w:rFonts w:asciiTheme="majorHAnsi" w:hAnsiTheme="majorHAnsi" w:cstheme="majorHAnsi"/>
                <w:sz w:val="20"/>
                <w:szCs w:val="20"/>
              </w:rPr>
            </w:pPr>
          </w:p>
        </w:tc>
      </w:tr>
      <w:tr w:rsidR="00822CFF" w14:paraId="63AD9069" w14:textId="5B613174"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7426138F"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Pacific Rim Equity Index (BLK) Class K </w:t>
            </w:r>
          </w:p>
        </w:tc>
        <w:tc>
          <w:tcPr>
            <w:tcW w:w="2126" w:type="dxa"/>
          </w:tcPr>
          <w:p w14:paraId="73C94CC2" w14:textId="79119304" w:rsidR="002E057D" w:rsidRPr="00142844" w:rsidRDefault="000E5BD4" w:rsidP="00142844">
            <w:pPr>
              <w:pStyle w:val="Default"/>
              <w:jc w:val="center"/>
              <w:rPr>
                <w:rFonts w:asciiTheme="majorHAnsi" w:hAnsiTheme="majorHAnsi" w:cstheme="majorHAnsi"/>
                <w:sz w:val="20"/>
                <w:szCs w:val="20"/>
              </w:rPr>
            </w:pPr>
            <w:r>
              <w:rPr>
                <w:rFonts w:asciiTheme="majorHAnsi" w:hAnsiTheme="majorHAnsi" w:cstheme="majorHAnsi"/>
                <w:sz w:val="20"/>
                <w:szCs w:val="20"/>
              </w:rPr>
              <w:t>-4.20</w:t>
            </w:r>
          </w:p>
        </w:tc>
        <w:tc>
          <w:tcPr>
            <w:tcW w:w="1559" w:type="dxa"/>
          </w:tcPr>
          <w:p w14:paraId="0C929967" w14:textId="275CB329" w:rsidR="002E057D" w:rsidRPr="00142844" w:rsidRDefault="000E5BD4" w:rsidP="00142844">
            <w:pPr>
              <w:pStyle w:val="Default"/>
              <w:jc w:val="center"/>
              <w:rPr>
                <w:rFonts w:asciiTheme="majorHAnsi" w:hAnsiTheme="majorHAnsi" w:cstheme="majorHAnsi"/>
                <w:sz w:val="20"/>
                <w:szCs w:val="20"/>
              </w:rPr>
            </w:pPr>
            <w:r>
              <w:rPr>
                <w:rFonts w:asciiTheme="majorHAnsi" w:hAnsiTheme="majorHAnsi" w:cstheme="majorHAnsi"/>
                <w:sz w:val="20"/>
                <w:szCs w:val="20"/>
              </w:rPr>
              <w:t>13</w:t>
            </w:r>
            <w:r w:rsidR="002E057D" w:rsidRPr="00142844">
              <w:rPr>
                <w:rFonts w:asciiTheme="majorHAnsi" w:hAnsiTheme="majorHAnsi" w:cstheme="majorHAnsi"/>
                <w:sz w:val="20"/>
                <w:szCs w:val="20"/>
              </w:rPr>
              <w:t>.</w:t>
            </w:r>
            <w:r>
              <w:rPr>
                <w:rFonts w:asciiTheme="majorHAnsi" w:hAnsiTheme="majorHAnsi" w:cstheme="majorHAnsi"/>
                <w:sz w:val="20"/>
                <w:szCs w:val="20"/>
              </w:rPr>
              <w:t>60</w:t>
            </w:r>
          </w:p>
        </w:tc>
        <w:tc>
          <w:tcPr>
            <w:tcW w:w="1985" w:type="dxa"/>
          </w:tcPr>
          <w:p w14:paraId="6F13BFAF" w14:textId="2A51E7B0" w:rsidR="002E057D" w:rsidRPr="00142844" w:rsidRDefault="000E5BD4" w:rsidP="00142844">
            <w:pPr>
              <w:pStyle w:val="Default"/>
              <w:jc w:val="center"/>
              <w:rPr>
                <w:rFonts w:asciiTheme="majorHAnsi" w:hAnsiTheme="majorHAnsi" w:cstheme="majorHAnsi"/>
                <w:sz w:val="20"/>
                <w:szCs w:val="20"/>
              </w:rPr>
            </w:pPr>
            <w:r>
              <w:rPr>
                <w:rFonts w:asciiTheme="majorHAnsi" w:hAnsiTheme="majorHAnsi" w:cstheme="majorHAnsi"/>
                <w:sz w:val="20"/>
                <w:szCs w:val="20"/>
              </w:rPr>
              <w:t>4.75</w:t>
            </w:r>
          </w:p>
        </w:tc>
        <w:tc>
          <w:tcPr>
            <w:tcW w:w="1984" w:type="dxa"/>
          </w:tcPr>
          <w:p w14:paraId="3AB30862" w14:textId="39C44B89" w:rsidR="002E057D" w:rsidRPr="00142844" w:rsidRDefault="000E5BD4" w:rsidP="00142844">
            <w:pPr>
              <w:pStyle w:val="Default"/>
              <w:jc w:val="center"/>
              <w:rPr>
                <w:rFonts w:asciiTheme="majorHAnsi" w:hAnsiTheme="majorHAnsi" w:cstheme="majorHAnsi"/>
                <w:sz w:val="20"/>
                <w:szCs w:val="20"/>
              </w:rPr>
            </w:pPr>
            <w:r>
              <w:rPr>
                <w:rFonts w:asciiTheme="majorHAnsi" w:hAnsiTheme="majorHAnsi" w:cstheme="majorHAnsi"/>
                <w:sz w:val="20"/>
                <w:szCs w:val="20"/>
              </w:rPr>
              <w:t>5.49</w:t>
            </w:r>
          </w:p>
        </w:tc>
      </w:tr>
      <w:tr w:rsidR="00822CFF" w14:paraId="1DD2CC6A" w14:textId="015557E5"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148A0575"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UK Equity Index (BLK) Class K </w:t>
            </w:r>
          </w:p>
        </w:tc>
        <w:tc>
          <w:tcPr>
            <w:tcW w:w="2126" w:type="dxa"/>
          </w:tcPr>
          <w:p w14:paraId="0E000FE8" w14:textId="556EFB54"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2.</w:t>
            </w:r>
            <w:r w:rsidR="00BE6A1A" w:rsidRPr="00142844">
              <w:rPr>
                <w:rFonts w:asciiTheme="majorHAnsi" w:hAnsiTheme="majorHAnsi" w:cstheme="majorHAnsi"/>
                <w:sz w:val="20"/>
                <w:szCs w:val="20"/>
              </w:rPr>
              <w:t>1</w:t>
            </w:r>
            <w:r w:rsidR="00BE6A1A">
              <w:rPr>
                <w:rFonts w:asciiTheme="majorHAnsi" w:hAnsiTheme="majorHAnsi" w:cstheme="majorHAnsi"/>
                <w:sz w:val="20"/>
                <w:szCs w:val="20"/>
              </w:rPr>
              <w:t>4</w:t>
            </w:r>
          </w:p>
        </w:tc>
        <w:tc>
          <w:tcPr>
            <w:tcW w:w="1559" w:type="dxa"/>
          </w:tcPr>
          <w:p w14:paraId="336EE5D0" w14:textId="01284638"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13</w:t>
            </w:r>
            <w:r w:rsidR="002E057D" w:rsidRPr="00142844">
              <w:rPr>
                <w:rFonts w:asciiTheme="majorHAnsi" w:hAnsiTheme="majorHAnsi" w:cstheme="majorHAnsi"/>
                <w:sz w:val="20"/>
                <w:szCs w:val="20"/>
              </w:rPr>
              <w:t>.</w:t>
            </w:r>
            <w:r>
              <w:rPr>
                <w:rFonts w:asciiTheme="majorHAnsi" w:hAnsiTheme="majorHAnsi" w:cstheme="majorHAnsi"/>
                <w:sz w:val="20"/>
                <w:szCs w:val="20"/>
              </w:rPr>
              <w:t>24</w:t>
            </w:r>
          </w:p>
        </w:tc>
        <w:tc>
          <w:tcPr>
            <w:tcW w:w="1985" w:type="dxa"/>
          </w:tcPr>
          <w:p w14:paraId="40732EAF" w14:textId="011A8693"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4.</w:t>
            </w:r>
            <w:r w:rsidR="00BE6A1A">
              <w:rPr>
                <w:rFonts w:asciiTheme="majorHAnsi" w:hAnsiTheme="majorHAnsi" w:cstheme="majorHAnsi"/>
                <w:sz w:val="20"/>
                <w:szCs w:val="20"/>
              </w:rPr>
              <w:t>63</w:t>
            </w:r>
          </w:p>
        </w:tc>
        <w:tc>
          <w:tcPr>
            <w:tcW w:w="1984" w:type="dxa"/>
          </w:tcPr>
          <w:p w14:paraId="421999D3" w14:textId="2E6A85D9"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5.57</w:t>
            </w:r>
          </w:p>
        </w:tc>
      </w:tr>
      <w:tr w:rsidR="00822CFF" w14:paraId="6570B865" w14:textId="6B2EFEE1"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3AF8B402"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UK Equity Optimum (BLK) Class T </w:t>
            </w:r>
          </w:p>
        </w:tc>
        <w:tc>
          <w:tcPr>
            <w:tcW w:w="2126" w:type="dxa"/>
          </w:tcPr>
          <w:p w14:paraId="721E7EB9" w14:textId="71A959AB"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4.43</w:t>
            </w:r>
          </w:p>
        </w:tc>
        <w:tc>
          <w:tcPr>
            <w:tcW w:w="1559" w:type="dxa"/>
          </w:tcPr>
          <w:p w14:paraId="16F082C9" w14:textId="08E1D72B"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13.25</w:t>
            </w:r>
          </w:p>
        </w:tc>
        <w:tc>
          <w:tcPr>
            <w:tcW w:w="1985" w:type="dxa"/>
          </w:tcPr>
          <w:p w14:paraId="23D60B00" w14:textId="5B082FE9"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5.</w:t>
            </w:r>
            <w:r w:rsidR="005157C9" w:rsidRPr="00142844">
              <w:rPr>
                <w:rFonts w:asciiTheme="majorHAnsi" w:hAnsiTheme="majorHAnsi" w:cstheme="majorHAnsi"/>
                <w:sz w:val="20"/>
                <w:szCs w:val="20"/>
              </w:rPr>
              <w:t>7</w:t>
            </w:r>
            <w:r w:rsidR="005157C9">
              <w:rPr>
                <w:rFonts w:asciiTheme="majorHAnsi" w:hAnsiTheme="majorHAnsi" w:cstheme="majorHAnsi"/>
                <w:sz w:val="20"/>
                <w:szCs w:val="20"/>
              </w:rPr>
              <w:t>9</w:t>
            </w:r>
          </w:p>
        </w:tc>
        <w:tc>
          <w:tcPr>
            <w:tcW w:w="1984" w:type="dxa"/>
          </w:tcPr>
          <w:p w14:paraId="04F4F122" w14:textId="5CC05709"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7.07</w:t>
            </w:r>
          </w:p>
        </w:tc>
      </w:tr>
      <w:tr w:rsidR="00822CFF" w14:paraId="2A3D6D8F" w14:textId="43D34E56"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305ED9C7"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BlackRock US Equity Index (BLK) Class K </w:t>
            </w:r>
          </w:p>
        </w:tc>
        <w:tc>
          <w:tcPr>
            <w:tcW w:w="2126" w:type="dxa"/>
          </w:tcPr>
          <w:p w14:paraId="41D56E07" w14:textId="6422ECB0"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-3.16</w:t>
            </w:r>
          </w:p>
        </w:tc>
        <w:tc>
          <w:tcPr>
            <w:tcW w:w="1559" w:type="dxa"/>
          </w:tcPr>
          <w:p w14:paraId="33EAC801" w14:textId="47A1584A" w:rsidR="002E057D" w:rsidRPr="00142844" w:rsidRDefault="00BE6A1A"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1</w:t>
            </w:r>
            <w:r>
              <w:rPr>
                <w:rFonts w:asciiTheme="majorHAnsi" w:hAnsiTheme="majorHAnsi" w:cstheme="majorHAnsi"/>
                <w:sz w:val="20"/>
                <w:szCs w:val="20"/>
              </w:rPr>
              <w:t>7</w:t>
            </w:r>
            <w:r w:rsidR="002E057D" w:rsidRPr="00142844">
              <w:rPr>
                <w:rFonts w:asciiTheme="majorHAnsi" w:hAnsiTheme="majorHAnsi" w:cstheme="majorHAnsi"/>
                <w:sz w:val="20"/>
                <w:szCs w:val="20"/>
              </w:rPr>
              <w:t>.</w:t>
            </w:r>
            <w:r>
              <w:rPr>
                <w:rFonts w:asciiTheme="majorHAnsi" w:hAnsiTheme="majorHAnsi" w:cstheme="majorHAnsi"/>
                <w:sz w:val="20"/>
                <w:szCs w:val="20"/>
              </w:rPr>
              <w:t>81</w:t>
            </w:r>
          </w:p>
        </w:tc>
        <w:tc>
          <w:tcPr>
            <w:tcW w:w="1985" w:type="dxa"/>
          </w:tcPr>
          <w:p w14:paraId="51079073" w14:textId="06C7345D" w:rsidR="002E057D" w:rsidRPr="00142844" w:rsidRDefault="00BE6A1A"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1</w:t>
            </w:r>
            <w:r>
              <w:rPr>
                <w:rFonts w:asciiTheme="majorHAnsi" w:hAnsiTheme="majorHAnsi" w:cstheme="majorHAnsi"/>
                <w:sz w:val="20"/>
                <w:szCs w:val="20"/>
              </w:rPr>
              <w:t>3</w:t>
            </w:r>
            <w:r w:rsidR="002E057D" w:rsidRPr="00142844">
              <w:rPr>
                <w:rFonts w:asciiTheme="majorHAnsi" w:hAnsiTheme="majorHAnsi" w:cstheme="majorHAnsi"/>
                <w:sz w:val="20"/>
                <w:szCs w:val="20"/>
              </w:rPr>
              <w:t>.</w:t>
            </w:r>
            <w:r>
              <w:rPr>
                <w:rFonts w:asciiTheme="majorHAnsi" w:hAnsiTheme="majorHAnsi" w:cstheme="majorHAnsi"/>
                <w:sz w:val="20"/>
                <w:szCs w:val="20"/>
              </w:rPr>
              <w:t>38</w:t>
            </w:r>
          </w:p>
        </w:tc>
        <w:tc>
          <w:tcPr>
            <w:tcW w:w="1984" w:type="dxa"/>
          </w:tcPr>
          <w:p w14:paraId="1C7120CC" w14:textId="5DAF8D95"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14.12</w:t>
            </w:r>
          </w:p>
        </w:tc>
      </w:tr>
      <w:tr w:rsidR="00822CFF" w14:paraId="388EC45D" w14:textId="3B03E6A2"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11A0E25D"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LGIM Pre-Retirement (BLK) Class G </w:t>
            </w:r>
          </w:p>
        </w:tc>
        <w:tc>
          <w:tcPr>
            <w:tcW w:w="2126" w:type="dxa"/>
          </w:tcPr>
          <w:p w14:paraId="6418D456" w14:textId="23307954"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r w:rsidR="00BE6A1A">
              <w:rPr>
                <w:rFonts w:asciiTheme="majorHAnsi" w:hAnsiTheme="majorHAnsi" w:cstheme="majorHAnsi"/>
                <w:sz w:val="20"/>
                <w:szCs w:val="20"/>
              </w:rPr>
              <w:t>19.76</w:t>
            </w:r>
          </w:p>
        </w:tc>
        <w:tc>
          <w:tcPr>
            <w:tcW w:w="1559" w:type="dxa"/>
          </w:tcPr>
          <w:p w14:paraId="2796DD2E" w14:textId="15AB3F12"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-8.56</w:t>
            </w:r>
          </w:p>
        </w:tc>
        <w:tc>
          <w:tcPr>
            <w:tcW w:w="1985" w:type="dxa"/>
          </w:tcPr>
          <w:p w14:paraId="61B003CD" w14:textId="659F47D0"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-3.32</w:t>
            </w:r>
          </w:p>
        </w:tc>
        <w:tc>
          <w:tcPr>
            <w:tcW w:w="1984" w:type="dxa"/>
          </w:tcPr>
          <w:p w14:paraId="1FB3BB5B" w14:textId="08D6B42C"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1.27</w:t>
            </w:r>
          </w:p>
        </w:tc>
      </w:tr>
      <w:tr w:rsidR="00822CFF" w14:paraId="7A5CAD29" w14:textId="4D27581E"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580FE50C"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MFS Global Equity (BLK) Class I5 </w:t>
            </w:r>
          </w:p>
        </w:tc>
        <w:tc>
          <w:tcPr>
            <w:tcW w:w="2126" w:type="dxa"/>
          </w:tcPr>
          <w:p w14:paraId="74D2DF36" w14:textId="2A92F232"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1.33</w:t>
            </w:r>
          </w:p>
        </w:tc>
        <w:tc>
          <w:tcPr>
            <w:tcW w:w="1559" w:type="dxa"/>
          </w:tcPr>
          <w:p w14:paraId="58CA235C" w14:textId="07EBB16A"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p>
        </w:tc>
        <w:tc>
          <w:tcPr>
            <w:tcW w:w="1985" w:type="dxa"/>
          </w:tcPr>
          <w:p w14:paraId="5DBB6D4B" w14:textId="7801D232"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p>
        </w:tc>
        <w:tc>
          <w:tcPr>
            <w:tcW w:w="1984" w:type="dxa"/>
          </w:tcPr>
          <w:p w14:paraId="796C4A5E" w14:textId="77777777" w:rsidR="002E057D" w:rsidRPr="00142844" w:rsidRDefault="002E057D" w:rsidP="00142844">
            <w:pPr>
              <w:pStyle w:val="Default"/>
              <w:jc w:val="center"/>
              <w:rPr>
                <w:rFonts w:asciiTheme="majorHAnsi" w:hAnsiTheme="majorHAnsi" w:cstheme="majorHAnsi"/>
                <w:sz w:val="20"/>
                <w:szCs w:val="20"/>
              </w:rPr>
            </w:pPr>
          </w:p>
        </w:tc>
      </w:tr>
      <w:tr w:rsidR="00822CFF" w14:paraId="77274038" w14:textId="4A6DDF53"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506BF2B5"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Property (BLK) Class I6 </w:t>
            </w:r>
          </w:p>
        </w:tc>
        <w:tc>
          <w:tcPr>
            <w:tcW w:w="2126" w:type="dxa"/>
          </w:tcPr>
          <w:p w14:paraId="584AEA7C" w14:textId="6CDBC56E"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-15.97</w:t>
            </w:r>
          </w:p>
        </w:tc>
        <w:tc>
          <w:tcPr>
            <w:tcW w:w="1559" w:type="dxa"/>
          </w:tcPr>
          <w:p w14:paraId="4D1283FE" w14:textId="4632110F"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1.76</w:t>
            </w:r>
          </w:p>
        </w:tc>
        <w:tc>
          <w:tcPr>
            <w:tcW w:w="1985" w:type="dxa"/>
          </w:tcPr>
          <w:p w14:paraId="5A5E8528" w14:textId="2A7F1CEC"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p>
        </w:tc>
        <w:tc>
          <w:tcPr>
            <w:tcW w:w="1984" w:type="dxa"/>
          </w:tcPr>
          <w:p w14:paraId="741D51A2" w14:textId="77777777" w:rsidR="002E057D" w:rsidRPr="00142844" w:rsidRDefault="002E057D" w:rsidP="00142844">
            <w:pPr>
              <w:pStyle w:val="Default"/>
              <w:jc w:val="center"/>
              <w:rPr>
                <w:rFonts w:asciiTheme="majorHAnsi" w:hAnsiTheme="majorHAnsi" w:cstheme="majorHAnsi"/>
                <w:sz w:val="20"/>
                <w:szCs w:val="20"/>
              </w:rPr>
            </w:pPr>
          </w:p>
        </w:tc>
      </w:tr>
      <w:tr w:rsidR="00822CFF" w14:paraId="71B30C9E" w14:textId="23D1B5EE" w:rsidTr="00822CFF">
        <w:trPr>
          <w:cnfStyle w:val="000000010000" w:firstRow="0" w:lastRow="0" w:firstColumn="0" w:lastColumn="0" w:oddVBand="0" w:evenVBand="0" w:oddHBand="0" w:evenHBand="1" w:firstRowFirstColumn="0" w:firstRowLastColumn="0" w:lastRowFirstColumn="0" w:lastRowLastColumn="0"/>
          <w:trHeight w:val="44"/>
        </w:trPr>
        <w:tc>
          <w:tcPr>
            <w:tcW w:w="2132" w:type="dxa"/>
          </w:tcPr>
          <w:p w14:paraId="37D7ABBD"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Standard Life Corporate Bond (BLK) Class J </w:t>
            </w:r>
          </w:p>
        </w:tc>
        <w:tc>
          <w:tcPr>
            <w:tcW w:w="2126" w:type="dxa"/>
          </w:tcPr>
          <w:p w14:paraId="67E45430" w14:textId="09C54F49"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r w:rsidR="005157C9">
              <w:rPr>
                <w:rFonts w:asciiTheme="majorHAnsi" w:hAnsiTheme="majorHAnsi" w:cstheme="majorHAnsi"/>
                <w:sz w:val="20"/>
                <w:szCs w:val="20"/>
              </w:rPr>
              <w:t>11.11</w:t>
            </w:r>
          </w:p>
        </w:tc>
        <w:tc>
          <w:tcPr>
            <w:tcW w:w="1559" w:type="dxa"/>
          </w:tcPr>
          <w:p w14:paraId="3D7EB02C" w14:textId="717F4708"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-3.62</w:t>
            </w:r>
          </w:p>
        </w:tc>
        <w:tc>
          <w:tcPr>
            <w:tcW w:w="1985" w:type="dxa"/>
          </w:tcPr>
          <w:p w14:paraId="40394FB1" w14:textId="3AD501DB"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w:t>
            </w:r>
            <w:r w:rsidR="002E057D" w:rsidRPr="00142844">
              <w:rPr>
                <w:rFonts w:asciiTheme="majorHAnsi" w:hAnsiTheme="majorHAnsi" w:cstheme="majorHAnsi"/>
                <w:sz w:val="20"/>
                <w:szCs w:val="20"/>
              </w:rPr>
              <w:t>1.</w:t>
            </w:r>
            <w:r>
              <w:rPr>
                <w:rFonts w:asciiTheme="majorHAnsi" w:hAnsiTheme="majorHAnsi" w:cstheme="majorHAnsi"/>
                <w:sz w:val="20"/>
                <w:szCs w:val="20"/>
              </w:rPr>
              <w:t>09</w:t>
            </w:r>
          </w:p>
        </w:tc>
        <w:tc>
          <w:tcPr>
            <w:tcW w:w="1984" w:type="dxa"/>
          </w:tcPr>
          <w:p w14:paraId="3F3D2B86" w14:textId="7354B957" w:rsidR="002E057D" w:rsidRPr="00142844" w:rsidRDefault="005157C9" w:rsidP="00142844">
            <w:pPr>
              <w:pStyle w:val="Default"/>
              <w:jc w:val="center"/>
              <w:rPr>
                <w:rFonts w:asciiTheme="majorHAnsi" w:hAnsiTheme="majorHAnsi" w:cstheme="majorHAnsi"/>
                <w:sz w:val="20"/>
                <w:szCs w:val="20"/>
              </w:rPr>
            </w:pPr>
            <w:r>
              <w:rPr>
                <w:rFonts w:asciiTheme="majorHAnsi" w:hAnsiTheme="majorHAnsi" w:cstheme="majorHAnsi"/>
                <w:sz w:val="20"/>
                <w:szCs w:val="20"/>
              </w:rPr>
              <w:t>2.04</w:t>
            </w:r>
          </w:p>
        </w:tc>
      </w:tr>
      <w:tr w:rsidR="00822CFF" w14:paraId="1F7D1A91" w14:textId="28BB9922" w:rsidTr="00822CFF">
        <w:trPr>
          <w:cnfStyle w:val="000000100000" w:firstRow="0" w:lastRow="0" w:firstColumn="0" w:lastColumn="0" w:oddVBand="0" w:evenVBand="0" w:oddHBand="1" w:evenHBand="0" w:firstRowFirstColumn="0" w:firstRowLastColumn="0" w:lastRowFirstColumn="0" w:lastRowLastColumn="0"/>
          <w:trHeight w:val="44"/>
        </w:trPr>
        <w:tc>
          <w:tcPr>
            <w:tcW w:w="2132" w:type="dxa"/>
          </w:tcPr>
          <w:p w14:paraId="7CF808FF" w14:textId="77777777" w:rsidR="002E057D" w:rsidRPr="00142844" w:rsidRDefault="002E057D" w:rsidP="00F65CA3">
            <w:pPr>
              <w:pStyle w:val="Default"/>
              <w:rPr>
                <w:rFonts w:asciiTheme="majorHAnsi" w:hAnsiTheme="majorHAnsi" w:cstheme="majorHAnsi"/>
                <w:sz w:val="20"/>
                <w:szCs w:val="20"/>
              </w:rPr>
            </w:pPr>
            <w:r w:rsidRPr="00142844">
              <w:rPr>
                <w:rFonts w:asciiTheme="majorHAnsi" w:hAnsiTheme="majorHAnsi" w:cstheme="majorHAnsi"/>
                <w:sz w:val="20"/>
                <w:szCs w:val="20"/>
              </w:rPr>
              <w:t xml:space="preserve">Aegon Standard Life Global Absolute Return Strategies (BLK) Class T </w:t>
            </w:r>
          </w:p>
        </w:tc>
        <w:tc>
          <w:tcPr>
            <w:tcW w:w="2126" w:type="dxa"/>
          </w:tcPr>
          <w:p w14:paraId="527E2BBA" w14:textId="18B50374" w:rsidR="002E057D" w:rsidRPr="00142844" w:rsidRDefault="002E057D" w:rsidP="00142844">
            <w:pPr>
              <w:pStyle w:val="Default"/>
              <w:jc w:val="center"/>
              <w:rPr>
                <w:rFonts w:asciiTheme="majorHAnsi" w:hAnsiTheme="majorHAnsi" w:cstheme="majorHAnsi"/>
                <w:sz w:val="20"/>
                <w:szCs w:val="20"/>
              </w:rPr>
            </w:pPr>
            <w:r w:rsidRPr="00142844">
              <w:rPr>
                <w:rFonts w:asciiTheme="majorHAnsi" w:hAnsiTheme="majorHAnsi" w:cstheme="majorHAnsi"/>
                <w:sz w:val="20"/>
                <w:szCs w:val="20"/>
              </w:rPr>
              <w:t>-</w:t>
            </w:r>
            <w:r w:rsidR="00BE6A1A">
              <w:rPr>
                <w:rFonts w:asciiTheme="majorHAnsi" w:hAnsiTheme="majorHAnsi" w:cstheme="majorHAnsi"/>
                <w:sz w:val="20"/>
                <w:szCs w:val="20"/>
              </w:rPr>
              <w:t>8.55</w:t>
            </w:r>
          </w:p>
        </w:tc>
        <w:tc>
          <w:tcPr>
            <w:tcW w:w="1559" w:type="dxa"/>
          </w:tcPr>
          <w:p w14:paraId="4D60599C" w14:textId="73524B42"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-2.59</w:t>
            </w:r>
          </w:p>
        </w:tc>
        <w:tc>
          <w:tcPr>
            <w:tcW w:w="1985" w:type="dxa"/>
          </w:tcPr>
          <w:p w14:paraId="045A83C0" w14:textId="371E262D"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-1.53</w:t>
            </w:r>
          </w:p>
        </w:tc>
        <w:tc>
          <w:tcPr>
            <w:tcW w:w="1984" w:type="dxa"/>
          </w:tcPr>
          <w:p w14:paraId="3FEE84F1" w14:textId="63EEF376" w:rsidR="002E057D" w:rsidRPr="00142844" w:rsidRDefault="00BE6A1A" w:rsidP="00142844">
            <w:pPr>
              <w:pStyle w:val="Default"/>
              <w:jc w:val="center"/>
              <w:rPr>
                <w:rFonts w:asciiTheme="majorHAnsi" w:hAnsiTheme="majorHAnsi" w:cstheme="majorHAnsi"/>
                <w:sz w:val="20"/>
                <w:szCs w:val="20"/>
              </w:rPr>
            </w:pPr>
            <w:r>
              <w:rPr>
                <w:rFonts w:asciiTheme="majorHAnsi" w:hAnsiTheme="majorHAnsi" w:cstheme="majorHAnsi"/>
                <w:sz w:val="20"/>
                <w:szCs w:val="20"/>
              </w:rPr>
              <w:t>-0.01</w:t>
            </w:r>
          </w:p>
        </w:tc>
      </w:tr>
    </w:tbl>
    <w:p w14:paraId="2F174237" w14:textId="1AAB684A" w:rsidR="005B4968" w:rsidRPr="00142844" w:rsidRDefault="005B4968" w:rsidP="00682FC2">
      <w:pPr>
        <w:rPr>
          <w:i/>
          <w:iCs/>
          <w:lang w:val="en-GB" w:eastAsia="en-GB" w:bidi="ar-SA"/>
        </w:rPr>
      </w:pPr>
      <w:r>
        <w:rPr>
          <w:i/>
          <w:iCs/>
          <w:lang w:val="en-GB" w:eastAsia="en-GB" w:bidi="ar-SA"/>
        </w:rPr>
        <w:lastRenderedPageBreak/>
        <w:t>Performance is for the period to 31 March 202</w:t>
      </w:r>
      <w:r w:rsidR="000E5BD4">
        <w:rPr>
          <w:i/>
          <w:iCs/>
          <w:lang w:val="en-GB" w:eastAsia="en-GB" w:bidi="ar-SA"/>
        </w:rPr>
        <w:t>3</w:t>
      </w:r>
      <w:r>
        <w:rPr>
          <w:i/>
          <w:iCs/>
          <w:lang w:val="en-GB" w:eastAsia="en-GB" w:bidi="ar-SA"/>
        </w:rPr>
        <w:t>. Source: Aegon</w:t>
      </w:r>
    </w:p>
    <w:p w14:paraId="52AB52E2" w14:textId="53D1B4F0" w:rsidR="00682FC2" w:rsidRDefault="006411EB" w:rsidP="00F64A90">
      <w:pPr>
        <w:spacing w:before="120" w:after="0" w:line="264" w:lineRule="auto"/>
        <w:ind w:left="567" w:hanging="567"/>
        <w:jc w:val="both"/>
        <w:outlineLvl w:val="1"/>
        <w:rPr>
          <w:lang w:val="en-GB" w:eastAsia="en-GB" w:bidi="ar-SA"/>
        </w:rPr>
      </w:pPr>
      <w:r>
        <w:rPr>
          <w:lang w:val="en-GB" w:eastAsia="en-GB" w:bidi="ar-SA"/>
        </w:rPr>
        <w:t>N.B. Where a value has not been included in the table, the n</w:t>
      </w:r>
      <w:r w:rsidR="00682FC2" w:rsidRPr="00A521FF">
        <w:rPr>
          <w:lang w:val="en-GB" w:eastAsia="en-GB" w:bidi="ar-SA"/>
        </w:rPr>
        <w:t>et investment returns are not available</w:t>
      </w:r>
      <w:r w:rsidR="00682FC2" w:rsidRPr="00497A6F">
        <w:rPr>
          <w:lang w:val="en-GB" w:eastAsia="en-GB" w:bidi="ar-SA"/>
        </w:rPr>
        <w:t xml:space="preserve"> for </w:t>
      </w:r>
      <w:r w:rsidR="00682FC2" w:rsidRPr="00334B87">
        <w:rPr>
          <w:lang w:val="en-GB" w:eastAsia="en-GB" w:bidi="ar-SA"/>
        </w:rPr>
        <w:t xml:space="preserve">these funds as they </w:t>
      </w:r>
      <w:r w:rsidR="00682FC2">
        <w:rPr>
          <w:lang w:val="en-GB" w:eastAsia="en-GB" w:bidi="ar-SA"/>
        </w:rPr>
        <w:t>have not been in existence for the reported periods.</w:t>
      </w:r>
    </w:p>
    <w:p w14:paraId="5A41FB3F" w14:textId="19448038" w:rsidR="00682FC2" w:rsidRPr="00891D2C" w:rsidRDefault="00682FC2" w:rsidP="00EF21AD">
      <w:pPr>
        <w:pStyle w:val="ListParagraph"/>
        <w:numPr>
          <w:ilvl w:val="1"/>
          <w:numId w:val="14"/>
        </w:numPr>
        <w:spacing w:before="120" w:after="120" w:line="264" w:lineRule="auto"/>
        <w:ind w:left="567" w:hanging="567"/>
        <w:jc w:val="both"/>
        <w:outlineLvl w:val="1"/>
        <w:rPr>
          <w:lang w:val="en-GB" w:eastAsia="en-GB" w:bidi="ar-SA"/>
        </w:rPr>
      </w:pPr>
      <w:r w:rsidRPr="00891D2C">
        <w:rPr>
          <w:lang w:val="en-GB" w:eastAsia="en-GB" w:bidi="ar-SA"/>
        </w:rPr>
        <w:t xml:space="preserve">In view of the reported net investment returns as well as the more frequent reviews of investment performance against their set benchmarks and objectives which occurred throughout the period, the Trustee </w:t>
      </w:r>
      <w:r w:rsidR="00145260">
        <w:rPr>
          <w:lang w:val="en-GB" w:eastAsia="en-GB" w:bidi="ar-SA"/>
        </w:rPr>
        <w:t>is</w:t>
      </w:r>
      <w:r w:rsidR="00145260" w:rsidRPr="00891D2C">
        <w:rPr>
          <w:lang w:val="en-GB" w:eastAsia="en-GB" w:bidi="ar-SA"/>
        </w:rPr>
        <w:t xml:space="preserve"> </w:t>
      </w:r>
      <w:r w:rsidRPr="00891D2C">
        <w:rPr>
          <w:lang w:val="en-GB" w:eastAsia="en-GB" w:bidi="ar-SA"/>
        </w:rPr>
        <w:t>comfortable with the performance of the funds generally, albeit a few of the self-select options have underperformed their benchmark. These will continue to be carefully monitored by the Trustee on an ongoing basis.</w:t>
      </w:r>
    </w:p>
    <w:p w14:paraId="16BC701B" w14:textId="2D743EA0" w:rsidR="00392430" w:rsidRPr="00847A5D" w:rsidRDefault="00392430" w:rsidP="00392430">
      <w:pPr>
        <w:pStyle w:val="Heading2"/>
      </w:pPr>
      <w:r>
        <w:t xml:space="preserve">Net investment returns </w:t>
      </w:r>
      <w:r w:rsidRPr="0006610A">
        <w:t>in relation to AVCs</w:t>
      </w:r>
    </w:p>
    <w:tbl>
      <w:tblPr>
        <w:tblStyle w:val="bwTable"/>
        <w:tblW w:w="9480" w:type="dxa"/>
        <w:tblInd w:w="5" w:type="dxa"/>
        <w:tblLook w:val="04A0" w:firstRow="1" w:lastRow="0" w:firstColumn="1" w:lastColumn="0" w:noHBand="0" w:noVBand="1"/>
      </w:tblPr>
      <w:tblGrid>
        <w:gridCol w:w="4673"/>
        <w:gridCol w:w="1602"/>
        <w:gridCol w:w="1602"/>
        <w:gridCol w:w="1603"/>
      </w:tblGrid>
      <w:tr w:rsidR="00757F46" w14:paraId="148BAAD5" w14:textId="77777777" w:rsidTr="004A74B6">
        <w:trPr>
          <w:cnfStyle w:val="100000000000" w:firstRow="1" w:lastRow="0" w:firstColumn="0" w:lastColumn="0" w:oddVBand="0" w:evenVBand="0" w:oddHBand="0" w:evenHBand="0" w:firstRowFirstColumn="0" w:firstRowLastColumn="0" w:lastRowFirstColumn="0" w:lastRowLastColumn="0"/>
          <w:trHeight w:val="706"/>
        </w:trPr>
        <w:tc>
          <w:tcPr>
            <w:tcW w:w="4673" w:type="dxa"/>
            <w:hideMark/>
          </w:tcPr>
          <w:p w14:paraId="1E0C0566" w14:textId="106A61E9" w:rsidR="00392430" w:rsidRPr="004A74B6" w:rsidRDefault="00392430" w:rsidP="004A74B6">
            <w:pPr>
              <w:pStyle w:val="Default"/>
              <w:rPr>
                <w:color w:val="009FE3" w:themeColor="background2"/>
              </w:rPr>
            </w:pPr>
            <w:r w:rsidRPr="00142844">
              <w:rPr>
                <w:color w:val="009FE3" w:themeColor="background2"/>
                <w:sz w:val="20"/>
                <w:szCs w:val="20"/>
              </w:rPr>
              <w:t xml:space="preserve">Description </w:t>
            </w:r>
          </w:p>
        </w:tc>
        <w:tc>
          <w:tcPr>
            <w:tcW w:w="1602" w:type="dxa"/>
            <w:hideMark/>
          </w:tcPr>
          <w:p w14:paraId="4E6185BE" w14:textId="3BADA47F" w:rsidR="00392430" w:rsidRPr="004A74B6" w:rsidRDefault="00392430" w:rsidP="004A74B6">
            <w:pPr>
              <w:pStyle w:val="Default"/>
              <w:jc w:val="center"/>
              <w:rPr>
                <w:color w:val="009FE3" w:themeColor="background2"/>
                <w:szCs w:val="20"/>
              </w:rPr>
            </w:pPr>
            <w:r w:rsidRPr="00142844">
              <w:rPr>
                <w:color w:val="009FE3" w:themeColor="background2"/>
                <w:sz w:val="20"/>
                <w:szCs w:val="20"/>
              </w:rPr>
              <w:t>1 Year (</w:t>
            </w:r>
            <w:r>
              <w:rPr>
                <w:color w:val="009FE3" w:themeColor="background2"/>
                <w:sz w:val="20"/>
                <w:szCs w:val="20"/>
              </w:rPr>
              <w:t>%</w:t>
            </w:r>
            <w:r w:rsidRPr="00142844">
              <w:rPr>
                <w:color w:val="009FE3" w:themeColor="background2"/>
                <w:sz w:val="20"/>
                <w:szCs w:val="20"/>
              </w:rPr>
              <w:t>)</w:t>
            </w:r>
          </w:p>
        </w:tc>
        <w:tc>
          <w:tcPr>
            <w:tcW w:w="1602" w:type="dxa"/>
            <w:hideMark/>
          </w:tcPr>
          <w:p w14:paraId="5E89D931" w14:textId="31A28CFA" w:rsidR="00392430" w:rsidRPr="004A74B6" w:rsidRDefault="00392430" w:rsidP="004A74B6">
            <w:pPr>
              <w:pStyle w:val="Default"/>
              <w:jc w:val="center"/>
              <w:rPr>
                <w:color w:val="009FE3" w:themeColor="background2"/>
              </w:rPr>
            </w:pPr>
            <w:r w:rsidRPr="00142844">
              <w:rPr>
                <w:color w:val="009FE3" w:themeColor="background2"/>
                <w:sz w:val="20"/>
                <w:szCs w:val="20"/>
              </w:rPr>
              <w:t>3 Years (</w:t>
            </w:r>
            <w:r>
              <w:rPr>
                <w:color w:val="009FE3" w:themeColor="background2"/>
                <w:sz w:val="20"/>
                <w:szCs w:val="20"/>
              </w:rPr>
              <w:t xml:space="preserve">% </w:t>
            </w:r>
            <w:proofErr w:type="spellStart"/>
            <w:r w:rsidRPr="00142844">
              <w:rPr>
                <w:color w:val="009FE3" w:themeColor="background2"/>
                <w:sz w:val="20"/>
                <w:szCs w:val="20"/>
              </w:rPr>
              <w:t>p.a</w:t>
            </w:r>
            <w:proofErr w:type="spellEnd"/>
            <w:r w:rsidRPr="00142844">
              <w:rPr>
                <w:color w:val="009FE3" w:themeColor="background2"/>
                <w:sz w:val="20"/>
                <w:szCs w:val="20"/>
              </w:rPr>
              <w:t>)</w:t>
            </w:r>
          </w:p>
        </w:tc>
        <w:tc>
          <w:tcPr>
            <w:tcW w:w="1603" w:type="dxa"/>
            <w:hideMark/>
          </w:tcPr>
          <w:p w14:paraId="5CE56218" w14:textId="2BB6A6DD" w:rsidR="00392430" w:rsidRPr="004A74B6" w:rsidRDefault="00392430" w:rsidP="004A74B6">
            <w:pPr>
              <w:pStyle w:val="Default"/>
              <w:jc w:val="center"/>
              <w:rPr>
                <w:color w:val="009FE3" w:themeColor="background2"/>
                <w:szCs w:val="20"/>
              </w:rPr>
            </w:pPr>
            <w:r w:rsidRPr="00142844">
              <w:rPr>
                <w:color w:val="009FE3" w:themeColor="background2"/>
                <w:sz w:val="20"/>
                <w:szCs w:val="20"/>
              </w:rPr>
              <w:t>5 Years (</w:t>
            </w:r>
            <w:r>
              <w:rPr>
                <w:color w:val="009FE3" w:themeColor="background2"/>
                <w:sz w:val="20"/>
                <w:szCs w:val="20"/>
              </w:rPr>
              <w:t xml:space="preserve">% </w:t>
            </w:r>
            <w:proofErr w:type="spellStart"/>
            <w:r w:rsidRPr="00142844">
              <w:rPr>
                <w:color w:val="009FE3" w:themeColor="background2"/>
                <w:sz w:val="20"/>
                <w:szCs w:val="20"/>
              </w:rPr>
              <w:t>p.a</w:t>
            </w:r>
            <w:proofErr w:type="spellEnd"/>
            <w:r w:rsidRPr="00142844">
              <w:rPr>
                <w:color w:val="009FE3" w:themeColor="background2"/>
                <w:sz w:val="20"/>
                <w:szCs w:val="20"/>
              </w:rPr>
              <w:t>)</w:t>
            </w:r>
          </w:p>
        </w:tc>
      </w:tr>
      <w:tr w:rsidR="00EF54EC" w14:paraId="7434FB03" w14:textId="77777777" w:rsidTr="00FE2F16">
        <w:trPr>
          <w:cnfStyle w:val="000000100000" w:firstRow="0" w:lastRow="0" w:firstColumn="0" w:lastColumn="0" w:oddVBand="0" w:evenVBand="0" w:oddHBand="1" w:evenHBand="0" w:firstRowFirstColumn="0" w:firstRowLastColumn="0" w:lastRowFirstColumn="0" w:lastRowLastColumn="0"/>
          <w:trHeight w:val="706"/>
        </w:trPr>
        <w:tc>
          <w:tcPr>
            <w:tcW w:w="0" w:type="dxa"/>
          </w:tcPr>
          <w:p w14:paraId="53AE2560" w14:textId="06F9B80F" w:rsidR="00EF54EC" w:rsidRPr="00FE2F16" w:rsidRDefault="00EF54EC" w:rsidP="00EF54EC">
            <w:pPr>
              <w:pStyle w:val="Default"/>
              <w:rPr>
                <w:rFonts w:asciiTheme="minorHAnsi" w:hAnsiTheme="minorHAnsi" w:cstheme="minorHAnsi"/>
                <w:color w:val="009FE3" w:themeColor="background2"/>
                <w:sz w:val="20"/>
                <w:szCs w:val="20"/>
              </w:rPr>
            </w:pPr>
            <w:r w:rsidRPr="00FE2F16">
              <w:rPr>
                <w:rFonts w:asciiTheme="minorHAnsi" w:hAnsiTheme="minorHAnsi" w:cstheme="minorHAnsi"/>
                <w:sz w:val="20"/>
                <w:szCs w:val="20"/>
              </w:rPr>
              <w:t>Clerical Medical UK Growth Fund</w:t>
            </w:r>
          </w:p>
        </w:tc>
        <w:tc>
          <w:tcPr>
            <w:tcW w:w="0" w:type="dxa"/>
            <w:vAlign w:val="bottom"/>
          </w:tcPr>
          <w:p w14:paraId="5ADCAEC3" w14:textId="4FE4CD7F"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8.75</w:t>
            </w:r>
          </w:p>
        </w:tc>
        <w:tc>
          <w:tcPr>
            <w:tcW w:w="0" w:type="dxa"/>
            <w:vAlign w:val="bottom"/>
          </w:tcPr>
          <w:p w14:paraId="5F295557" w14:textId="17AC695D"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1.76</w:t>
            </w:r>
          </w:p>
        </w:tc>
        <w:tc>
          <w:tcPr>
            <w:tcW w:w="0" w:type="dxa"/>
            <w:vAlign w:val="bottom"/>
          </w:tcPr>
          <w:p w14:paraId="4FBBD707" w14:textId="4C52E1A9"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2.41</w:t>
            </w:r>
          </w:p>
        </w:tc>
      </w:tr>
      <w:tr w:rsidR="00EF54EC" w14:paraId="4BEDF56D" w14:textId="77777777" w:rsidTr="00FE2F16">
        <w:trPr>
          <w:cnfStyle w:val="000000010000" w:firstRow="0" w:lastRow="0" w:firstColumn="0" w:lastColumn="0" w:oddVBand="0" w:evenVBand="0" w:oddHBand="0" w:evenHBand="1" w:firstRowFirstColumn="0" w:firstRowLastColumn="0" w:lastRowFirstColumn="0" w:lastRowLastColumn="0"/>
          <w:trHeight w:val="706"/>
        </w:trPr>
        <w:tc>
          <w:tcPr>
            <w:tcW w:w="0" w:type="dxa"/>
          </w:tcPr>
          <w:p w14:paraId="4F18418E" w14:textId="3516BB57" w:rsidR="00EF54EC" w:rsidRPr="00FE2F16" w:rsidRDefault="00EF54EC" w:rsidP="00EF54EC">
            <w:pPr>
              <w:pStyle w:val="Default"/>
              <w:rPr>
                <w:rFonts w:asciiTheme="minorHAnsi" w:hAnsiTheme="minorHAnsi" w:cstheme="minorHAnsi"/>
                <w:color w:val="009FE3" w:themeColor="background2"/>
                <w:sz w:val="20"/>
                <w:szCs w:val="20"/>
              </w:rPr>
            </w:pPr>
            <w:r w:rsidRPr="00FE2F16">
              <w:rPr>
                <w:rFonts w:asciiTheme="minorHAnsi" w:hAnsiTheme="minorHAnsi" w:cstheme="minorHAnsi"/>
                <w:sz w:val="20"/>
                <w:szCs w:val="20"/>
              </w:rPr>
              <w:t>Clerical Medical UK Equity Income (Acc)</w:t>
            </w:r>
          </w:p>
        </w:tc>
        <w:tc>
          <w:tcPr>
            <w:tcW w:w="0" w:type="dxa"/>
            <w:vAlign w:val="bottom"/>
          </w:tcPr>
          <w:p w14:paraId="7097C803" w14:textId="32BF992F"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10.83</w:t>
            </w:r>
          </w:p>
        </w:tc>
        <w:tc>
          <w:tcPr>
            <w:tcW w:w="0" w:type="dxa"/>
            <w:vAlign w:val="bottom"/>
          </w:tcPr>
          <w:p w14:paraId="09E11CB8" w14:textId="7B647F61"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1.81</w:t>
            </w:r>
          </w:p>
        </w:tc>
        <w:tc>
          <w:tcPr>
            <w:tcW w:w="0" w:type="dxa"/>
            <w:vAlign w:val="bottom"/>
          </w:tcPr>
          <w:p w14:paraId="1C177B9D" w14:textId="5977AE3D"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2.05</w:t>
            </w:r>
          </w:p>
        </w:tc>
      </w:tr>
      <w:tr w:rsidR="00EF54EC" w14:paraId="4332B554" w14:textId="77777777" w:rsidTr="00FE2F16">
        <w:trPr>
          <w:cnfStyle w:val="000000100000" w:firstRow="0" w:lastRow="0" w:firstColumn="0" w:lastColumn="0" w:oddVBand="0" w:evenVBand="0" w:oddHBand="1" w:evenHBand="0" w:firstRowFirstColumn="0" w:firstRowLastColumn="0" w:lastRowFirstColumn="0" w:lastRowLastColumn="0"/>
          <w:trHeight w:val="706"/>
        </w:trPr>
        <w:tc>
          <w:tcPr>
            <w:tcW w:w="0" w:type="dxa"/>
          </w:tcPr>
          <w:p w14:paraId="278EA53F" w14:textId="441DD2AB" w:rsidR="00EF54EC" w:rsidRPr="00FE2F16" w:rsidRDefault="00EF54EC" w:rsidP="00EF54EC">
            <w:pPr>
              <w:pStyle w:val="Default"/>
              <w:rPr>
                <w:rFonts w:asciiTheme="minorHAnsi" w:hAnsiTheme="minorHAnsi" w:cstheme="minorHAnsi"/>
                <w:color w:val="009FE3" w:themeColor="background2"/>
                <w:sz w:val="20"/>
                <w:szCs w:val="20"/>
              </w:rPr>
            </w:pPr>
            <w:r w:rsidRPr="00FE2F16">
              <w:rPr>
                <w:rFonts w:asciiTheme="minorHAnsi" w:hAnsiTheme="minorHAnsi" w:cstheme="minorHAnsi"/>
                <w:sz w:val="20"/>
                <w:szCs w:val="20"/>
              </w:rPr>
              <w:t>Clerical Medical European</w:t>
            </w:r>
          </w:p>
        </w:tc>
        <w:tc>
          <w:tcPr>
            <w:tcW w:w="0" w:type="dxa"/>
            <w:vAlign w:val="bottom"/>
          </w:tcPr>
          <w:p w14:paraId="26661DD5" w14:textId="29BE3CB1"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5.31</w:t>
            </w:r>
          </w:p>
        </w:tc>
        <w:tc>
          <w:tcPr>
            <w:tcW w:w="0" w:type="dxa"/>
            <w:vAlign w:val="bottom"/>
          </w:tcPr>
          <w:p w14:paraId="369333D8" w14:textId="022B216E"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8.22</w:t>
            </w:r>
          </w:p>
        </w:tc>
        <w:tc>
          <w:tcPr>
            <w:tcW w:w="0" w:type="dxa"/>
            <w:vAlign w:val="bottom"/>
          </w:tcPr>
          <w:p w14:paraId="4838B98A" w14:textId="4BAE253E"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5.98</w:t>
            </w:r>
          </w:p>
        </w:tc>
      </w:tr>
      <w:tr w:rsidR="00EF54EC" w14:paraId="49167284" w14:textId="77777777" w:rsidTr="00FE2F16">
        <w:trPr>
          <w:cnfStyle w:val="000000010000" w:firstRow="0" w:lastRow="0" w:firstColumn="0" w:lastColumn="0" w:oddVBand="0" w:evenVBand="0" w:oddHBand="0" w:evenHBand="1" w:firstRowFirstColumn="0" w:firstRowLastColumn="0" w:lastRowFirstColumn="0" w:lastRowLastColumn="0"/>
          <w:trHeight w:val="706"/>
        </w:trPr>
        <w:tc>
          <w:tcPr>
            <w:tcW w:w="0" w:type="dxa"/>
          </w:tcPr>
          <w:p w14:paraId="4F8AF436" w14:textId="4727D0B3" w:rsidR="00EF54EC" w:rsidRPr="00FE2F16" w:rsidRDefault="00EF54EC" w:rsidP="00EF54EC">
            <w:pPr>
              <w:pStyle w:val="Default"/>
              <w:rPr>
                <w:rFonts w:asciiTheme="minorHAnsi" w:hAnsiTheme="minorHAnsi" w:cstheme="minorHAnsi"/>
                <w:color w:val="009FE3" w:themeColor="background2"/>
                <w:sz w:val="20"/>
                <w:szCs w:val="20"/>
              </w:rPr>
            </w:pPr>
            <w:r w:rsidRPr="00FE2F16">
              <w:rPr>
                <w:rFonts w:asciiTheme="minorHAnsi" w:hAnsiTheme="minorHAnsi" w:cstheme="minorHAnsi"/>
                <w:sz w:val="20"/>
                <w:szCs w:val="20"/>
              </w:rPr>
              <w:t>Clerical Medical Far Eastern Fund</w:t>
            </w:r>
          </w:p>
        </w:tc>
        <w:tc>
          <w:tcPr>
            <w:tcW w:w="0" w:type="dxa"/>
            <w:vAlign w:val="bottom"/>
          </w:tcPr>
          <w:p w14:paraId="20C790E3" w14:textId="1D679E55"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-2.18</w:t>
            </w:r>
          </w:p>
        </w:tc>
        <w:tc>
          <w:tcPr>
            <w:tcW w:w="0" w:type="dxa"/>
            <w:vAlign w:val="bottom"/>
          </w:tcPr>
          <w:p w14:paraId="230E2311" w14:textId="2B31E485"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5.69</w:t>
            </w:r>
          </w:p>
        </w:tc>
        <w:tc>
          <w:tcPr>
            <w:tcW w:w="0" w:type="dxa"/>
            <w:vAlign w:val="bottom"/>
          </w:tcPr>
          <w:p w14:paraId="70640B67" w14:textId="34187A4A"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5.20</w:t>
            </w:r>
          </w:p>
        </w:tc>
      </w:tr>
      <w:tr w:rsidR="00EF54EC" w14:paraId="4320D72E" w14:textId="77777777" w:rsidTr="00FE2F16">
        <w:trPr>
          <w:cnfStyle w:val="000000100000" w:firstRow="0" w:lastRow="0" w:firstColumn="0" w:lastColumn="0" w:oddVBand="0" w:evenVBand="0" w:oddHBand="1" w:evenHBand="0" w:firstRowFirstColumn="0" w:firstRowLastColumn="0" w:lastRowFirstColumn="0" w:lastRowLastColumn="0"/>
          <w:trHeight w:val="706"/>
        </w:trPr>
        <w:tc>
          <w:tcPr>
            <w:tcW w:w="0" w:type="dxa"/>
          </w:tcPr>
          <w:p w14:paraId="5B9E173A" w14:textId="5D7E300D" w:rsidR="00EF54EC" w:rsidRPr="00FE2F16" w:rsidRDefault="00EF54EC" w:rsidP="00EF54EC">
            <w:pPr>
              <w:pStyle w:val="Default"/>
              <w:rPr>
                <w:rFonts w:asciiTheme="minorHAnsi" w:hAnsiTheme="minorHAnsi" w:cstheme="minorHAnsi"/>
                <w:color w:val="009FE3" w:themeColor="background2"/>
                <w:sz w:val="20"/>
                <w:szCs w:val="20"/>
              </w:rPr>
            </w:pPr>
            <w:r w:rsidRPr="00FE2F16">
              <w:rPr>
                <w:rFonts w:asciiTheme="minorHAnsi" w:hAnsiTheme="minorHAnsi" w:cstheme="minorHAnsi"/>
                <w:sz w:val="20"/>
                <w:szCs w:val="20"/>
              </w:rPr>
              <w:t>Clerical Medical UK Property Fund</w:t>
            </w:r>
          </w:p>
        </w:tc>
        <w:tc>
          <w:tcPr>
            <w:tcW w:w="0" w:type="dxa"/>
            <w:vAlign w:val="bottom"/>
          </w:tcPr>
          <w:p w14:paraId="5AEDE815" w14:textId="43319146"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22.03</w:t>
            </w:r>
          </w:p>
        </w:tc>
        <w:tc>
          <w:tcPr>
            <w:tcW w:w="0" w:type="dxa"/>
            <w:vAlign w:val="bottom"/>
          </w:tcPr>
          <w:p w14:paraId="73ED4990" w14:textId="5F9F0C0F"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7.53</w:t>
            </w:r>
          </w:p>
        </w:tc>
        <w:tc>
          <w:tcPr>
            <w:tcW w:w="0" w:type="dxa"/>
            <w:vAlign w:val="bottom"/>
          </w:tcPr>
          <w:p w14:paraId="712C14A4" w14:textId="739E8F49" w:rsidR="00EF54EC" w:rsidRPr="00FE2F16" w:rsidRDefault="00EF54EC" w:rsidP="00EF54EC">
            <w:pPr>
              <w:pStyle w:val="Default"/>
              <w:jc w:val="center"/>
              <w:rPr>
                <w:rFonts w:asciiTheme="minorHAnsi" w:hAnsiTheme="minorHAnsi" w:cstheme="minorHAnsi"/>
                <w:color w:val="009FE3" w:themeColor="background2"/>
                <w:sz w:val="20"/>
                <w:szCs w:val="20"/>
              </w:rPr>
            </w:pPr>
            <w:r w:rsidRPr="00FE2F16">
              <w:rPr>
                <w:rFonts w:asciiTheme="minorHAnsi" w:hAnsiTheme="minorHAnsi" w:cstheme="minorHAnsi"/>
                <w:sz w:val="20"/>
                <w:szCs w:val="20"/>
              </w:rPr>
              <w:t>7.04</w:t>
            </w:r>
          </w:p>
        </w:tc>
      </w:tr>
      <w:tr w:rsidR="00EF54EC" w14:paraId="05C1F456" w14:textId="77777777" w:rsidTr="004A74B6">
        <w:trPr>
          <w:cnfStyle w:val="000000010000" w:firstRow="0" w:lastRow="0" w:firstColumn="0" w:lastColumn="0" w:oddVBand="0" w:evenVBand="0" w:oddHBand="0" w:evenHBand="1" w:firstRowFirstColumn="0" w:firstRowLastColumn="0" w:lastRowFirstColumn="0" w:lastRowLastColumn="0"/>
          <w:trHeight w:val="386"/>
        </w:trPr>
        <w:tc>
          <w:tcPr>
            <w:tcW w:w="4673" w:type="dxa"/>
            <w:noWrap/>
            <w:hideMark/>
          </w:tcPr>
          <w:p w14:paraId="4A9DC30C" w14:textId="77777777" w:rsidR="00EF54EC" w:rsidRPr="004A74B6" w:rsidRDefault="00EF54EC" w:rsidP="00EF54EC">
            <w:pPr>
              <w:pStyle w:val="Default"/>
              <w:contextualSpacing/>
              <w:rPr>
                <w:rFonts w:asciiTheme="majorHAnsi" w:hAnsiTheme="majorHAnsi" w:cstheme="majorHAnsi"/>
                <w:color w:val="000000" w:themeColor="text1"/>
              </w:rPr>
            </w:pPr>
            <w:r w:rsidRPr="004A74B6">
              <w:rPr>
                <w:rFonts w:asciiTheme="majorHAnsi" w:hAnsiTheme="majorHAnsi" w:cstheme="majorHAnsi"/>
                <w:color w:val="000000" w:themeColor="text1"/>
                <w:sz w:val="20"/>
                <w:szCs w:val="20"/>
              </w:rPr>
              <w:t>Baillie Gifford Diversified Growth</w:t>
            </w:r>
          </w:p>
        </w:tc>
        <w:tc>
          <w:tcPr>
            <w:tcW w:w="1602" w:type="dxa"/>
            <w:hideMark/>
          </w:tcPr>
          <w:p w14:paraId="21509361" w14:textId="7CE420D2" w:rsidR="00EF54EC" w:rsidRPr="004A74B6" w:rsidRDefault="00F43E94" w:rsidP="00EF54EC">
            <w:pPr>
              <w:pStyle w:val="Default"/>
              <w:contextualSpacing/>
              <w:jc w:val="center"/>
              <w:rPr>
                <w:rFonts w:asciiTheme="majorHAnsi" w:hAnsiTheme="majorHAnsi" w:cstheme="majorHAnsi"/>
                <w:color w:val="000000" w:themeColor="text1"/>
              </w:rPr>
            </w:pPr>
            <w:r>
              <w:rPr>
                <w:rFonts w:asciiTheme="majorHAnsi" w:hAnsiTheme="majorHAnsi" w:cstheme="majorHAnsi"/>
                <w:color w:val="000000" w:themeColor="text1"/>
                <w:sz w:val="20"/>
                <w:szCs w:val="20"/>
              </w:rPr>
              <w:t>-9.10</w:t>
            </w:r>
          </w:p>
        </w:tc>
        <w:tc>
          <w:tcPr>
            <w:tcW w:w="1602" w:type="dxa"/>
            <w:hideMark/>
          </w:tcPr>
          <w:p w14:paraId="2B32B8EC" w14:textId="6C450901" w:rsidR="00EF54EC" w:rsidRPr="004A74B6" w:rsidRDefault="00F43E94" w:rsidP="00EF54EC">
            <w:pPr>
              <w:pStyle w:val="Default"/>
              <w:contextualSpacing/>
              <w:jc w:val="center"/>
              <w:rPr>
                <w:rFonts w:asciiTheme="majorHAnsi" w:hAnsiTheme="majorHAnsi" w:cstheme="majorHAnsi"/>
                <w:color w:val="000000" w:themeColor="text1"/>
              </w:rPr>
            </w:pPr>
            <w:r>
              <w:rPr>
                <w:rFonts w:asciiTheme="majorHAnsi" w:hAnsiTheme="majorHAnsi" w:cstheme="majorHAnsi"/>
                <w:color w:val="000000" w:themeColor="text1"/>
                <w:sz w:val="20"/>
                <w:szCs w:val="20"/>
              </w:rPr>
              <w:t>3</w:t>
            </w:r>
            <w:r w:rsidR="00EF54EC" w:rsidRPr="004A74B6">
              <w:rPr>
                <w:rFonts w:asciiTheme="majorHAnsi" w:hAnsiTheme="majorHAnsi" w:cstheme="majorHAnsi"/>
                <w:color w:val="000000" w:themeColor="text1"/>
                <w:sz w:val="20"/>
                <w:szCs w:val="20"/>
              </w:rPr>
              <w:t>.5</w:t>
            </w:r>
            <w:r>
              <w:rPr>
                <w:rFonts w:asciiTheme="majorHAnsi" w:hAnsiTheme="majorHAnsi" w:cstheme="majorHAnsi"/>
                <w:color w:val="000000" w:themeColor="text1"/>
                <w:sz w:val="20"/>
                <w:szCs w:val="20"/>
              </w:rPr>
              <w:t>0</w:t>
            </w:r>
          </w:p>
        </w:tc>
        <w:tc>
          <w:tcPr>
            <w:tcW w:w="1603" w:type="dxa"/>
            <w:hideMark/>
          </w:tcPr>
          <w:p w14:paraId="53ECF08D" w14:textId="2F775E9B" w:rsidR="00EF54EC" w:rsidRPr="004A74B6" w:rsidRDefault="00F43E94" w:rsidP="00EF54EC">
            <w:pPr>
              <w:pStyle w:val="Default"/>
              <w:contextualSpacing/>
              <w:jc w:val="center"/>
              <w:rPr>
                <w:rFonts w:asciiTheme="majorHAnsi" w:hAnsiTheme="majorHAnsi" w:cstheme="majorHAnsi"/>
                <w:color w:val="000000" w:themeColor="text1"/>
              </w:rPr>
            </w:pPr>
            <w:r>
              <w:rPr>
                <w:rFonts w:asciiTheme="majorHAnsi" w:hAnsiTheme="majorHAnsi" w:cstheme="majorHAnsi"/>
                <w:color w:val="000000" w:themeColor="text1"/>
                <w:sz w:val="20"/>
                <w:szCs w:val="20"/>
              </w:rPr>
              <w:t>0.10</w:t>
            </w:r>
          </w:p>
        </w:tc>
      </w:tr>
      <w:tr w:rsidR="00EF54EC" w14:paraId="6A9641D2" w14:textId="77777777" w:rsidTr="004A74B6">
        <w:trPr>
          <w:cnfStyle w:val="000000100000" w:firstRow="0" w:lastRow="0" w:firstColumn="0" w:lastColumn="0" w:oddVBand="0" w:evenVBand="0" w:oddHBand="1" w:evenHBand="0" w:firstRowFirstColumn="0" w:firstRowLastColumn="0" w:lastRowFirstColumn="0" w:lastRowLastColumn="0"/>
          <w:trHeight w:val="386"/>
        </w:trPr>
        <w:tc>
          <w:tcPr>
            <w:tcW w:w="4673" w:type="dxa"/>
            <w:noWrap/>
            <w:hideMark/>
          </w:tcPr>
          <w:p w14:paraId="67430F8E" w14:textId="77777777" w:rsidR="00EF54EC" w:rsidRPr="004A74B6" w:rsidRDefault="00EF54EC" w:rsidP="00EF54EC">
            <w:pPr>
              <w:pStyle w:val="Default"/>
              <w:contextualSpacing/>
              <w:rPr>
                <w:rFonts w:asciiTheme="majorHAnsi" w:hAnsiTheme="majorHAnsi" w:cstheme="majorHAnsi"/>
                <w:color w:val="000000" w:themeColor="text1"/>
              </w:rPr>
            </w:pPr>
            <w:r w:rsidRPr="004A74B6">
              <w:rPr>
                <w:rFonts w:asciiTheme="majorHAnsi" w:hAnsiTheme="majorHAnsi" w:cstheme="majorHAnsi"/>
                <w:color w:val="000000" w:themeColor="text1"/>
                <w:sz w:val="20"/>
                <w:szCs w:val="20"/>
              </w:rPr>
              <w:t>BlackRock Aquila World ex-UK Equity Index</w:t>
            </w:r>
          </w:p>
        </w:tc>
        <w:tc>
          <w:tcPr>
            <w:tcW w:w="1602" w:type="dxa"/>
            <w:hideMark/>
          </w:tcPr>
          <w:p w14:paraId="12B8AD87" w14:textId="117521E0" w:rsidR="00EF54EC" w:rsidRPr="004A74B6" w:rsidRDefault="00F43E94" w:rsidP="00EF54EC">
            <w:pPr>
              <w:pStyle w:val="Default"/>
              <w:contextualSpacing/>
              <w:jc w:val="center"/>
              <w:rPr>
                <w:rFonts w:asciiTheme="majorHAnsi" w:hAnsiTheme="majorHAnsi" w:cstheme="majorHAnsi"/>
                <w:color w:val="000000" w:themeColor="text1"/>
              </w:rPr>
            </w:pPr>
            <w:r>
              <w:rPr>
                <w:rFonts w:asciiTheme="majorHAnsi" w:hAnsiTheme="majorHAnsi" w:cstheme="majorHAnsi"/>
                <w:color w:val="000000" w:themeColor="text1"/>
                <w:sz w:val="20"/>
                <w:szCs w:val="20"/>
              </w:rPr>
              <w:t>-3.70</w:t>
            </w:r>
          </w:p>
        </w:tc>
        <w:tc>
          <w:tcPr>
            <w:tcW w:w="1602" w:type="dxa"/>
            <w:hideMark/>
          </w:tcPr>
          <w:p w14:paraId="51E5DFF2" w14:textId="55A13F61" w:rsidR="00EF54EC" w:rsidRPr="004A74B6" w:rsidRDefault="00F43E94" w:rsidP="00EF54EC">
            <w:pPr>
              <w:pStyle w:val="Default"/>
              <w:contextualSpacing/>
              <w:jc w:val="center"/>
              <w:rPr>
                <w:rFonts w:asciiTheme="majorHAnsi" w:hAnsiTheme="majorHAnsi" w:cstheme="majorHAnsi"/>
                <w:color w:val="000000" w:themeColor="text1"/>
              </w:rPr>
            </w:pPr>
            <w:r>
              <w:rPr>
                <w:rFonts w:asciiTheme="majorHAnsi" w:hAnsiTheme="majorHAnsi" w:cstheme="majorHAnsi"/>
                <w:color w:val="000000" w:themeColor="text1"/>
                <w:sz w:val="20"/>
                <w:szCs w:val="20"/>
              </w:rPr>
              <w:t>16.70</w:t>
            </w:r>
          </w:p>
        </w:tc>
        <w:tc>
          <w:tcPr>
            <w:tcW w:w="1603" w:type="dxa"/>
            <w:hideMark/>
          </w:tcPr>
          <w:p w14:paraId="7ACD20D3" w14:textId="26093E23" w:rsidR="00EF54EC" w:rsidRPr="004A74B6" w:rsidRDefault="00F43E94" w:rsidP="00EF54EC">
            <w:pPr>
              <w:pStyle w:val="Default"/>
              <w:contextualSpacing/>
              <w:jc w:val="center"/>
              <w:rPr>
                <w:rFonts w:asciiTheme="majorHAnsi" w:hAnsiTheme="majorHAnsi" w:cstheme="majorHAnsi"/>
                <w:color w:val="000000" w:themeColor="text1"/>
              </w:rPr>
            </w:pPr>
            <w:r>
              <w:rPr>
                <w:rFonts w:asciiTheme="majorHAnsi" w:hAnsiTheme="majorHAnsi" w:cstheme="majorHAnsi"/>
                <w:color w:val="000000" w:themeColor="text1"/>
                <w:sz w:val="20"/>
                <w:szCs w:val="20"/>
              </w:rPr>
              <w:t>10.50</w:t>
            </w:r>
          </w:p>
        </w:tc>
      </w:tr>
      <w:tr w:rsidR="00EF54EC" w14:paraId="574DA8FB" w14:textId="77777777" w:rsidTr="004A74B6">
        <w:trPr>
          <w:cnfStyle w:val="000000010000" w:firstRow="0" w:lastRow="0" w:firstColumn="0" w:lastColumn="0" w:oddVBand="0" w:evenVBand="0" w:oddHBand="0" w:evenHBand="1" w:firstRowFirstColumn="0" w:firstRowLastColumn="0" w:lastRowFirstColumn="0" w:lastRowLastColumn="0"/>
          <w:trHeight w:val="386"/>
        </w:trPr>
        <w:tc>
          <w:tcPr>
            <w:tcW w:w="4673" w:type="dxa"/>
            <w:noWrap/>
            <w:hideMark/>
          </w:tcPr>
          <w:p w14:paraId="55572B60"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LGIM Ethical Global Equity Index</w:t>
            </w:r>
          </w:p>
        </w:tc>
        <w:tc>
          <w:tcPr>
            <w:tcW w:w="1602" w:type="dxa"/>
            <w:hideMark/>
          </w:tcPr>
          <w:p w14:paraId="0C27D772" w14:textId="4BA18CA5"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-0.30</w:t>
            </w:r>
          </w:p>
        </w:tc>
        <w:tc>
          <w:tcPr>
            <w:tcW w:w="1602" w:type="dxa"/>
            <w:hideMark/>
          </w:tcPr>
          <w:p w14:paraId="6F80F485" w14:textId="0F9D7E2C"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18.20</w:t>
            </w:r>
          </w:p>
        </w:tc>
        <w:tc>
          <w:tcPr>
            <w:tcW w:w="1603" w:type="dxa"/>
            <w:hideMark/>
          </w:tcPr>
          <w:p w14:paraId="413196CA" w14:textId="27FE0480"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11.30</w:t>
            </w:r>
          </w:p>
        </w:tc>
      </w:tr>
      <w:tr w:rsidR="00EF54EC" w14:paraId="7CA8DB96" w14:textId="77777777" w:rsidTr="004A74B6">
        <w:trPr>
          <w:cnfStyle w:val="000000100000" w:firstRow="0" w:lastRow="0" w:firstColumn="0" w:lastColumn="0" w:oddVBand="0" w:evenVBand="0" w:oddHBand="1" w:evenHBand="0" w:firstRowFirstColumn="0" w:firstRowLastColumn="0" w:lastRowFirstColumn="0" w:lastRowLastColumn="0"/>
          <w:trHeight w:val="386"/>
        </w:trPr>
        <w:tc>
          <w:tcPr>
            <w:tcW w:w="4673" w:type="dxa"/>
            <w:noWrap/>
            <w:hideMark/>
          </w:tcPr>
          <w:p w14:paraId="4535BDEF"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Dynamic Global Equity Passive</w:t>
            </w:r>
          </w:p>
        </w:tc>
        <w:tc>
          <w:tcPr>
            <w:tcW w:w="1602" w:type="dxa"/>
            <w:hideMark/>
          </w:tcPr>
          <w:p w14:paraId="39C44C8C" w14:textId="56FF63E9"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0.20</w:t>
            </w:r>
          </w:p>
        </w:tc>
        <w:tc>
          <w:tcPr>
            <w:tcW w:w="1602" w:type="dxa"/>
            <w:hideMark/>
          </w:tcPr>
          <w:p w14:paraId="3AB95EB7" w14:textId="1EA8D171"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14.20</w:t>
            </w:r>
          </w:p>
        </w:tc>
        <w:tc>
          <w:tcPr>
            <w:tcW w:w="1603" w:type="dxa"/>
            <w:hideMark/>
          </w:tcPr>
          <w:p w14:paraId="747373BC" w14:textId="2BB7977B" w:rsidR="00EF54EC" w:rsidRPr="004A74B6" w:rsidRDefault="00EF54EC"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w:t>
            </w:r>
          </w:p>
        </w:tc>
      </w:tr>
      <w:tr w:rsidR="00EF54EC" w14:paraId="031D94DC" w14:textId="77777777" w:rsidTr="004A74B6">
        <w:trPr>
          <w:cnfStyle w:val="000000010000" w:firstRow="0" w:lastRow="0" w:firstColumn="0" w:lastColumn="0" w:oddVBand="0" w:evenVBand="0" w:oddHBand="0" w:evenHBand="1" w:firstRowFirstColumn="0" w:firstRowLastColumn="0" w:lastRowFirstColumn="0" w:lastRowLastColumn="0"/>
          <w:trHeight w:val="386"/>
        </w:trPr>
        <w:tc>
          <w:tcPr>
            <w:tcW w:w="4673" w:type="dxa"/>
            <w:noWrap/>
            <w:hideMark/>
          </w:tcPr>
          <w:p w14:paraId="0BD61683"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Dynamic Growth II</w:t>
            </w:r>
          </w:p>
        </w:tc>
        <w:tc>
          <w:tcPr>
            <w:tcW w:w="1602" w:type="dxa"/>
            <w:hideMark/>
          </w:tcPr>
          <w:p w14:paraId="2F2A4D26" w14:textId="4D778FD3"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-4.70</w:t>
            </w:r>
          </w:p>
        </w:tc>
        <w:tc>
          <w:tcPr>
            <w:tcW w:w="1602" w:type="dxa"/>
            <w:hideMark/>
          </w:tcPr>
          <w:p w14:paraId="04DE6F11" w14:textId="7ED57F32"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4.20</w:t>
            </w:r>
          </w:p>
        </w:tc>
        <w:tc>
          <w:tcPr>
            <w:tcW w:w="1603" w:type="dxa"/>
            <w:hideMark/>
          </w:tcPr>
          <w:p w14:paraId="6457A4DB" w14:textId="5F7D906E" w:rsidR="00EF54EC" w:rsidRPr="004A74B6" w:rsidRDefault="00A2467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w:t>
            </w:r>
          </w:p>
        </w:tc>
      </w:tr>
      <w:tr w:rsidR="00EF54EC" w14:paraId="030CB0A3" w14:textId="77777777" w:rsidTr="004A74B6">
        <w:trPr>
          <w:cnfStyle w:val="000000100000" w:firstRow="0" w:lastRow="0" w:firstColumn="0" w:lastColumn="0" w:oddVBand="0" w:evenVBand="0" w:oddHBand="1" w:evenHBand="0" w:firstRowFirstColumn="0" w:firstRowLastColumn="0" w:lastRowFirstColumn="0" w:lastRowLastColumn="0"/>
          <w:trHeight w:val="364"/>
        </w:trPr>
        <w:tc>
          <w:tcPr>
            <w:tcW w:w="4673" w:type="dxa"/>
            <w:noWrap/>
            <w:hideMark/>
          </w:tcPr>
          <w:p w14:paraId="204B806E"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Dynamic Growth IV</w:t>
            </w:r>
          </w:p>
        </w:tc>
        <w:tc>
          <w:tcPr>
            <w:tcW w:w="1602" w:type="dxa"/>
            <w:hideMark/>
          </w:tcPr>
          <w:p w14:paraId="0B8AB223" w14:textId="6F1AC21F"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-2.50</w:t>
            </w:r>
          </w:p>
        </w:tc>
        <w:tc>
          <w:tcPr>
            <w:tcW w:w="1602" w:type="dxa"/>
            <w:hideMark/>
          </w:tcPr>
          <w:p w14:paraId="62E0A8B4" w14:textId="70960A42"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7.90</w:t>
            </w:r>
          </w:p>
        </w:tc>
        <w:tc>
          <w:tcPr>
            <w:tcW w:w="1603" w:type="dxa"/>
            <w:hideMark/>
          </w:tcPr>
          <w:p w14:paraId="5FB4DFE0" w14:textId="47146E80"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w:t>
            </w:r>
          </w:p>
        </w:tc>
      </w:tr>
      <w:tr w:rsidR="00EF54EC" w14:paraId="71FEA800" w14:textId="77777777" w:rsidTr="004A74B6">
        <w:trPr>
          <w:cnfStyle w:val="000000010000" w:firstRow="0" w:lastRow="0" w:firstColumn="0" w:lastColumn="0" w:oddVBand="0" w:evenVBand="0" w:oddHBand="0" w:evenHBand="1" w:firstRowFirstColumn="0" w:firstRowLastColumn="0" w:lastRowFirstColumn="0" w:lastRowLastColumn="0"/>
          <w:trHeight w:val="386"/>
        </w:trPr>
        <w:tc>
          <w:tcPr>
            <w:tcW w:w="4673" w:type="dxa"/>
            <w:noWrap/>
            <w:hideMark/>
          </w:tcPr>
          <w:p w14:paraId="6DC1E26B"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Positive Impact</w:t>
            </w:r>
          </w:p>
        </w:tc>
        <w:tc>
          <w:tcPr>
            <w:tcW w:w="1602" w:type="dxa"/>
            <w:hideMark/>
          </w:tcPr>
          <w:p w14:paraId="42180853" w14:textId="75E00D52"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0.90</w:t>
            </w:r>
          </w:p>
        </w:tc>
        <w:tc>
          <w:tcPr>
            <w:tcW w:w="1602" w:type="dxa"/>
          </w:tcPr>
          <w:p w14:paraId="2F042FE5" w14:textId="2F6C076A"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14.10</w:t>
            </w:r>
          </w:p>
        </w:tc>
        <w:tc>
          <w:tcPr>
            <w:tcW w:w="1603" w:type="dxa"/>
          </w:tcPr>
          <w:p w14:paraId="4EAE3291" w14:textId="3007C831" w:rsidR="00EF54EC" w:rsidRPr="004A74B6" w:rsidRDefault="00EF54EC"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w:t>
            </w:r>
          </w:p>
        </w:tc>
      </w:tr>
      <w:tr w:rsidR="00EF54EC" w14:paraId="14ADB246" w14:textId="77777777" w:rsidTr="004A74B6">
        <w:trPr>
          <w:cnfStyle w:val="000000100000" w:firstRow="0" w:lastRow="0" w:firstColumn="0" w:lastColumn="0" w:oddVBand="0" w:evenVBand="0" w:oddHBand="1" w:evenHBand="0" w:firstRowFirstColumn="0" w:firstRowLastColumn="0" w:lastRowFirstColumn="0" w:lastRowLastColumn="0"/>
          <w:trHeight w:val="386"/>
        </w:trPr>
        <w:tc>
          <w:tcPr>
            <w:tcW w:w="4673" w:type="dxa"/>
            <w:noWrap/>
            <w:hideMark/>
          </w:tcPr>
          <w:p w14:paraId="4851DFE2"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 xml:space="preserve">Prudential S3 All Stocks Corporate Bond </w:t>
            </w:r>
          </w:p>
        </w:tc>
        <w:tc>
          <w:tcPr>
            <w:tcW w:w="1602" w:type="dxa"/>
            <w:hideMark/>
          </w:tcPr>
          <w:p w14:paraId="0806C2BD" w14:textId="5E653477"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-9.60</w:t>
            </w:r>
          </w:p>
        </w:tc>
        <w:tc>
          <w:tcPr>
            <w:tcW w:w="1602" w:type="dxa"/>
            <w:hideMark/>
          </w:tcPr>
          <w:p w14:paraId="066973C7" w14:textId="6B9A9397"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-2.60</w:t>
            </w:r>
          </w:p>
        </w:tc>
        <w:tc>
          <w:tcPr>
            <w:tcW w:w="1603" w:type="dxa"/>
            <w:hideMark/>
          </w:tcPr>
          <w:p w14:paraId="168B45BA" w14:textId="241D0A4F"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-0.40</w:t>
            </w:r>
          </w:p>
        </w:tc>
      </w:tr>
      <w:tr w:rsidR="00EF54EC" w14:paraId="1D799BAB" w14:textId="77777777" w:rsidTr="004A74B6">
        <w:trPr>
          <w:cnfStyle w:val="000000010000" w:firstRow="0" w:lastRow="0" w:firstColumn="0" w:lastColumn="0" w:oddVBand="0" w:evenVBand="0" w:oddHBand="0" w:evenHBand="1" w:firstRowFirstColumn="0" w:firstRowLastColumn="0" w:lastRowFirstColumn="0" w:lastRowLastColumn="0"/>
          <w:trHeight w:val="386"/>
        </w:trPr>
        <w:tc>
          <w:tcPr>
            <w:tcW w:w="4673" w:type="dxa"/>
            <w:noWrap/>
            <w:hideMark/>
          </w:tcPr>
          <w:p w14:paraId="030162D5"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 xml:space="preserve">Prudential S3 Cash </w:t>
            </w:r>
          </w:p>
        </w:tc>
        <w:tc>
          <w:tcPr>
            <w:tcW w:w="1602" w:type="dxa"/>
            <w:hideMark/>
          </w:tcPr>
          <w:p w14:paraId="67393076" w14:textId="09213552"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1.40</w:t>
            </w:r>
          </w:p>
        </w:tc>
        <w:tc>
          <w:tcPr>
            <w:tcW w:w="1602" w:type="dxa"/>
            <w:hideMark/>
          </w:tcPr>
          <w:p w14:paraId="180509B8" w14:textId="629EEBDD" w:rsidR="00EF54EC" w:rsidRPr="004A74B6" w:rsidRDefault="00EF54EC" w:rsidP="00EF54EC">
            <w:pPr>
              <w:contextualSpacing/>
              <w:jc w:val="center"/>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0.1</w:t>
            </w:r>
            <w:r w:rsidR="00F43E94">
              <w:rPr>
                <w:rFonts w:asciiTheme="majorHAnsi" w:eastAsia="Times New Roman" w:hAnsiTheme="majorHAnsi" w:cstheme="majorHAnsi"/>
                <w:color w:val="000000" w:themeColor="text1"/>
                <w:lang w:eastAsia="en-GB"/>
              </w:rPr>
              <w:t>0</w:t>
            </w:r>
          </w:p>
        </w:tc>
        <w:tc>
          <w:tcPr>
            <w:tcW w:w="1603" w:type="dxa"/>
            <w:hideMark/>
          </w:tcPr>
          <w:p w14:paraId="1452A313" w14:textId="05CB7938"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0.10</w:t>
            </w:r>
          </w:p>
        </w:tc>
      </w:tr>
      <w:tr w:rsidR="00EF54EC" w14:paraId="02979220" w14:textId="77777777" w:rsidTr="004A74B6">
        <w:trPr>
          <w:cnfStyle w:val="000000100000" w:firstRow="0" w:lastRow="0" w:firstColumn="0" w:lastColumn="0" w:oddVBand="0" w:evenVBand="0" w:oddHBand="1" w:evenHBand="0" w:firstRowFirstColumn="0" w:firstRowLastColumn="0" w:lastRowFirstColumn="0" w:lastRowLastColumn="0"/>
          <w:trHeight w:val="386"/>
        </w:trPr>
        <w:tc>
          <w:tcPr>
            <w:tcW w:w="4673" w:type="dxa"/>
            <w:noWrap/>
            <w:hideMark/>
          </w:tcPr>
          <w:p w14:paraId="54DE9999"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lastRenderedPageBreak/>
              <w:t>Prudential S3 Discretionary</w:t>
            </w:r>
          </w:p>
        </w:tc>
        <w:tc>
          <w:tcPr>
            <w:tcW w:w="1602" w:type="dxa"/>
            <w:hideMark/>
          </w:tcPr>
          <w:p w14:paraId="7AB7547A" w14:textId="69F61D74"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-4.20</w:t>
            </w:r>
          </w:p>
        </w:tc>
        <w:tc>
          <w:tcPr>
            <w:tcW w:w="1602" w:type="dxa"/>
            <w:hideMark/>
          </w:tcPr>
          <w:p w14:paraId="6630BA9D" w14:textId="21D4C941"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8.70</w:t>
            </w:r>
          </w:p>
        </w:tc>
        <w:tc>
          <w:tcPr>
            <w:tcW w:w="1603" w:type="dxa"/>
            <w:hideMark/>
          </w:tcPr>
          <w:p w14:paraId="76740142" w14:textId="7B397B7B"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3.60</w:t>
            </w:r>
          </w:p>
        </w:tc>
      </w:tr>
      <w:tr w:rsidR="00EF54EC" w14:paraId="38F01F6F" w14:textId="77777777" w:rsidTr="004A74B6">
        <w:trPr>
          <w:cnfStyle w:val="000000010000" w:firstRow="0" w:lastRow="0" w:firstColumn="0" w:lastColumn="0" w:oddVBand="0" w:evenVBand="0" w:oddHBand="0" w:evenHBand="1" w:firstRowFirstColumn="0" w:firstRowLastColumn="0" w:lastRowFirstColumn="0" w:lastRowLastColumn="0"/>
          <w:trHeight w:val="386"/>
        </w:trPr>
        <w:tc>
          <w:tcPr>
            <w:tcW w:w="4673" w:type="dxa"/>
            <w:noWrap/>
            <w:hideMark/>
          </w:tcPr>
          <w:p w14:paraId="3B1D09E8"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S3 Fixed Interest</w:t>
            </w:r>
          </w:p>
        </w:tc>
        <w:tc>
          <w:tcPr>
            <w:tcW w:w="1602" w:type="dxa"/>
            <w:hideMark/>
          </w:tcPr>
          <w:p w14:paraId="6411E0A5" w14:textId="674318B7"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-16.20</w:t>
            </w:r>
          </w:p>
        </w:tc>
        <w:tc>
          <w:tcPr>
            <w:tcW w:w="1602" w:type="dxa"/>
            <w:hideMark/>
          </w:tcPr>
          <w:p w14:paraId="1CE41234" w14:textId="14180837"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-9.00</w:t>
            </w:r>
          </w:p>
        </w:tc>
        <w:tc>
          <w:tcPr>
            <w:tcW w:w="1603" w:type="dxa"/>
            <w:hideMark/>
          </w:tcPr>
          <w:p w14:paraId="749B1CD2" w14:textId="78FFD063"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-3.30</w:t>
            </w:r>
          </w:p>
        </w:tc>
      </w:tr>
      <w:tr w:rsidR="00EF54EC" w14:paraId="2D9A72CB" w14:textId="77777777" w:rsidTr="004A74B6">
        <w:trPr>
          <w:cnfStyle w:val="000000100000" w:firstRow="0" w:lastRow="0" w:firstColumn="0" w:lastColumn="0" w:oddVBand="0" w:evenVBand="0" w:oddHBand="1" w:evenHBand="0" w:firstRowFirstColumn="0" w:firstRowLastColumn="0" w:lastRowFirstColumn="0" w:lastRowLastColumn="0"/>
          <w:trHeight w:val="438"/>
        </w:trPr>
        <w:tc>
          <w:tcPr>
            <w:tcW w:w="4673" w:type="dxa"/>
            <w:noWrap/>
            <w:hideMark/>
          </w:tcPr>
          <w:p w14:paraId="05F470E9"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S3 Global Equity</w:t>
            </w:r>
          </w:p>
        </w:tc>
        <w:tc>
          <w:tcPr>
            <w:tcW w:w="1602" w:type="dxa"/>
            <w:hideMark/>
          </w:tcPr>
          <w:p w14:paraId="0D9C3CBE" w14:textId="08EA5ED4"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0.30</w:t>
            </w:r>
          </w:p>
        </w:tc>
        <w:tc>
          <w:tcPr>
            <w:tcW w:w="1602" w:type="dxa"/>
            <w:hideMark/>
          </w:tcPr>
          <w:p w14:paraId="3DD2EAF0" w14:textId="22449E0B"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13.20</w:t>
            </w:r>
          </w:p>
        </w:tc>
        <w:tc>
          <w:tcPr>
            <w:tcW w:w="1603" w:type="dxa"/>
            <w:hideMark/>
          </w:tcPr>
          <w:p w14:paraId="5F8BCF94" w14:textId="3D6FDA39"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4.60</w:t>
            </w:r>
          </w:p>
        </w:tc>
      </w:tr>
      <w:tr w:rsidR="00EF54EC" w14:paraId="18CF5B0F" w14:textId="77777777" w:rsidTr="004A74B6">
        <w:trPr>
          <w:cnfStyle w:val="000000010000" w:firstRow="0" w:lastRow="0" w:firstColumn="0" w:lastColumn="0" w:oddVBand="0" w:evenVBand="0" w:oddHBand="0" w:evenHBand="1" w:firstRowFirstColumn="0" w:firstRowLastColumn="0" w:lastRowFirstColumn="0" w:lastRowLastColumn="0"/>
          <w:trHeight w:val="409"/>
        </w:trPr>
        <w:tc>
          <w:tcPr>
            <w:tcW w:w="4673" w:type="dxa"/>
            <w:noWrap/>
            <w:hideMark/>
          </w:tcPr>
          <w:p w14:paraId="59FB6166"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S3 Index Linked</w:t>
            </w:r>
          </w:p>
        </w:tc>
        <w:tc>
          <w:tcPr>
            <w:tcW w:w="1602" w:type="dxa"/>
            <w:hideMark/>
          </w:tcPr>
          <w:p w14:paraId="1BD4696A" w14:textId="07138877"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-29.90</w:t>
            </w:r>
          </w:p>
        </w:tc>
        <w:tc>
          <w:tcPr>
            <w:tcW w:w="1602" w:type="dxa"/>
            <w:hideMark/>
          </w:tcPr>
          <w:p w14:paraId="3EDCB570" w14:textId="1366E2D9"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-8.60</w:t>
            </w:r>
          </w:p>
        </w:tc>
        <w:tc>
          <w:tcPr>
            <w:tcW w:w="1603" w:type="dxa"/>
            <w:hideMark/>
          </w:tcPr>
          <w:p w14:paraId="342970CA" w14:textId="6D195959"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-4.00</w:t>
            </w:r>
          </w:p>
        </w:tc>
      </w:tr>
      <w:tr w:rsidR="00EF54EC" w14:paraId="06570FD1" w14:textId="77777777" w:rsidTr="004A74B6">
        <w:trPr>
          <w:cnfStyle w:val="000000100000" w:firstRow="0" w:lastRow="0" w:firstColumn="0" w:lastColumn="0" w:oddVBand="0" w:evenVBand="0" w:oddHBand="1" w:evenHBand="0" w:firstRowFirstColumn="0" w:firstRowLastColumn="0" w:lastRowFirstColumn="0" w:lastRowLastColumn="0"/>
          <w:trHeight w:val="386"/>
        </w:trPr>
        <w:tc>
          <w:tcPr>
            <w:tcW w:w="4673" w:type="dxa"/>
            <w:noWrap/>
            <w:hideMark/>
          </w:tcPr>
          <w:p w14:paraId="7C369384"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S3 International Equity</w:t>
            </w:r>
          </w:p>
        </w:tc>
        <w:tc>
          <w:tcPr>
            <w:tcW w:w="1602" w:type="dxa"/>
            <w:hideMark/>
          </w:tcPr>
          <w:p w14:paraId="54C61920" w14:textId="0085A638"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1.70</w:t>
            </w:r>
          </w:p>
        </w:tc>
        <w:tc>
          <w:tcPr>
            <w:tcW w:w="1602" w:type="dxa"/>
            <w:hideMark/>
          </w:tcPr>
          <w:p w14:paraId="4EBEC94D" w14:textId="224661A0"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14.80</w:t>
            </w:r>
          </w:p>
        </w:tc>
        <w:tc>
          <w:tcPr>
            <w:tcW w:w="1603" w:type="dxa"/>
            <w:hideMark/>
          </w:tcPr>
          <w:p w14:paraId="083D5F4D" w14:textId="011C0235"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6.30</w:t>
            </w:r>
          </w:p>
        </w:tc>
      </w:tr>
      <w:tr w:rsidR="00EF54EC" w14:paraId="1AEADF08" w14:textId="77777777" w:rsidTr="004A74B6">
        <w:trPr>
          <w:cnfStyle w:val="000000010000" w:firstRow="0" w:lastRow="0" w:firstColumn="0" w:lastColumn="0" w:oddVBand="0" w:evenVBand="0" w:oddHBand="0" w:evenHBand="1" w:firstRowFirstColumn="0" w:firstRowLastColumn="0" w:lastRowFirstColumn="0" w:lastRowLastColumn="0"/>
          <w:trHeight w:val="409"/>
        </w:trPr>
        <w:tc>
          <w:tcPr>
            <w:tcW w:w="4673" w:type="dxa"/>
            <w:noWrap/>
            <w:hideMark/>
          </w:tcPr>
          <w:p w14:paraId="758B2D3B"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S3 Long Term Gilt Passive</w:t>
            </w:r>
          </w:p>
        </w:tc>
        <w:tc>
          <w:tcPr>
            <w:tcW w:w="1602" w:type="dxa"/>
            <w:hideMark/>
          </w:tcPr>
          <w:p w14:paraId="77532EE9" w14:textId="2A8D6A62"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-29.70</w:t>
            </w:r>
          </w:p>
        </w:tc>
        <w:tc>
          <w:tcPr>
            <w:tcW w:w="1602" w:type="dxa"/>
            <w:hideMark/>
          </w:tcPr>
          <w:p w14:paraId="4D3B91DC" w14:textId="0E36F980"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-16.80</w:t>
            </w:r>
          </w:p>
        </w:tc>
        <w:tc>
          <w:tcPr>
            <w:tcW w:w="1603" w:type="dxa"/>
            <w:hideMark/>
          </w:tcPr>
          <w:p w14:paraId="01579073" w14:textId="6E0E5A32"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-6.80</w:t>
            </w:r>
          </w:p>
        </w:tc>
      </w:tr>
      <w:tr w:rsidR="00EF54EC" w14:paraId="59217B0B" w14:textId="77777777" w:rsidTr="004A74B6">
        <w:trPr>
          <w:cnfStyle w:val="000000100000" w:firstRow="0" w:lastRow="0" w:firstColumn="0" w:lastColumn="0" w:oddVBand="0" w:evenVBand="0" w:oddHBand="1" w:evenHBand="0" w:firstRowFirstColumn="0" w:firstRowLastColumn="0" w:lastRowFirstColumn="0" w:lastRowLastColumn="0"/>
          <w:trHeight w:val="386"/>
        </w:trPr>
        <w:tc>
          <w:tcPr>
            <w:tcW w:w="4673" w:type="dxa"/>
            <w:noWrap/>
            <w:hideMark/>
          </w:tcPr>
          <w:p w14:paraId="0783A92E"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Prudential S3 UK Equity</w:t>
            </w:r>
          </w:p>
        </w:tc>
        <w:tc>
          <w:tcPr>
            <w:tcW w:w="1602" w:type="dxa"/>
            <w:hideMark/>
          </w:tcPr>
          <w:p w14:paraId="60FE08C3" w14:textId="37A720EF"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-1.00</w:t>
            </w:r>
          </w:p>
        </w:tc>
        <w:tc>
          <w:tcPr>
            <w:tcW w:w="1602" w:type="dxa"/>
            <w:hideMark/>
          </w:tcPr>
          <w:p w14:paraId="0CA30822" w14:textId="21A7328A"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11.90</w:t>
            </w:r>
          </w:p>
        </w:tc>
        <w:tc>
          <w:tcPr>
            <w:tcW w:w="1603" w:type="dxa"/>
            <w:hideMark/>
          </w:tcPr>
          <w:p w14:paraId="657BAFB4" w14:textId="264A9713"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3.30</w:t>
            </w:r>
          </w:p>
        </w:tc>
      </w:tr>
      <w:tr w:rsidR="00EF54EC" w14:paraId="37F46399" w14:textId="77777777" w:rsidTr="00EF54EC">
        <w:trPr>
          <w:cnfStyle w:val="000000010000" w:firstRow="0" w:lastRow="0" w:firstColumn="0" w:lastColumn="0" w:oddVBand="0" w:evenVBand="0" w:oddHBand="0" w:evenHBand="1" w:firstRowFirstColumn="0" w:firstRowLastColumn="0" w:lastRowFirstColumn="0" w:lastRowLastColumn="0"/>
          <w:trHeight w:val="386"/>
        </w:trPr>
        <w:tc>
          <w:tcPr>
            <w:tcW w:w="4673" w:type="dxa"/>
            <w:noWrap/>
            <w:hideMark/>
          </w:tcPr>
          <w:p w14:paraId="39D078DC" w14:textId="77777777" w:rsidR="00EF54EC" w:rsidRPr="004A74B6" w:rsidRDefault="00EF54EC" w:rsidP="00EF54EC">
            <w:pPr>
              <w:contextualSpacing/>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With Profits Cash Accumulation Fund</w:t>
            </w:r>
          </w:p>
        </w:tc>
        <w:tc>
          <w:tcPr>
            <w:tcW w:w="1602" w:type="dxa"/>
            <w:hideMark/>
          </w:tcPr>
          <w:p w14:paraId="0DB96977" w14:textId="16927D8F" w:rsidR="00EF54EC" w:rsidRPr="004A74B6" w:rsidRDefault="00F43E94" w:rsidP="00EF54EC">
            <w:pPr>
              <w:contextualSpacing/>
              <w:jc w:val="cente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1.50</w:t>
            </w:r>
          </w:p>
        </w:tc>
        <w:tc>
          <w:tcPr>
            <w:tcW w:w="1602" w:type="dxa"/>
            <w:hideMark/>
          </w:tcPr>
          <w:p w14:paraId="1D0FB008" w14:textId="0CE79FA2" w:rsidR="00EF54EC" w:rsidRPr="004A74B6" w:rsidRDefault="00EF54EC" w:rsidP="00EF54EC">
            <w:pPr>
              <w:contextualSpacing/>
              <w:jc w:val="center"/>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1.2</w:t>
            </w:r>
            <w:r w:rsidR="00F43E94">
              <w:rPr>
                <w:rFonts w:asciiTheme="majorHAnsi" w:eastAsia="Times New Roman" w:hAnsiTheme="majorHAnsi" w:cstheme="majorHAnsi"/>
                <w:color w:val="000000" w:themeColor="text1"/>
                <w:lang w:eastAsia="en-GB"/>
              </w:rPr>
              <w:t>0</w:t>
            </w:r>
          </w:p>
        </w:tc>
        <w:tc>
          <w:tcPr>
            <w:tcW w:w="1603" w:type="dxa"/>
            <w:hideMark/>
          </w:tcPr>
          <w:p w14:paraId="7DE0E66A" w14:textId="2CE3C4AC" w:rsidR="00EF54EC" w:rsidRPr="004A74B6" w:rsidRDefault="00EF54EC" w:rsidP="00EF54EC">
            <w:pPr>
              <w:contextualSpacing/>
              <w:jc w:val="center"/>
              <w:rPr>
                <w:rFonts w:asciiTheme="majorHAnsi" w:eastAsia="Times New Roman" w:hAnsiTheme="majorHAnsi" w:cstheme="majorHAnsi"/>
                <w:color w:val="000000" w:themeColor="text1"/>
                <w:lang w:eastAsia="en-GB"/>
              </w:rPr>
            </w:pPr>
            <w:r w:rsidRPr="004A74B6">
              <w:rPr>
                <w:rFonts w:asciiTheme="majorHAnsi" w:eastAsia="Times New Roman" w:hAnsiTheme="majorHAnsi" w:cstheme="majorHAnsi"/>
                <w:color w:val="000000" w:themeColor="text1"/>
                <w:lang w:eastAsia="en-GB"/>
              </w:rPr>
              <w:t>1.2</w:t>
            </w:r>
            <w:r w:rsidR="00F43E94">
              <w:rPr>
                <w:rFonts w:asciiTheme="majorHAnsi" w:eastAsia="Times New Roman" w:hAnsiTheme="majorHAnsi" w:cstheme="majorHAnsi"/>
                <w:color w:val="000000" w:themeColor="text1"/>
                <w:lang w:eastAsia="en-GB"/>
              </w:rPr>
              <w:t>0</w:t>
            </w:r>
          </w:p>
        </w:tc>
      </w:tr>
    </w:tbl>
    <w:p w14:paraId="4A831B35" w14:textId="6EC04DB5" w:rsidR="00757F46" w:rsidRPr="00142844" w:rsidRDefault="00757F46" w:rsidP="00757F46">
      <w:pPr>
        <w:rPr>
          <w:i/>
          <w:iCs/>
          <w:lang w:val="en-GB" w:eastAsia="en-GB" w:bidi="ar-SA"/>
        </w:rPr>
      </w:pPr>
      <w:r>
        <w:rPr>
          <w:i/>
          <w:iCs/>
          <w:lang w:val="en-GB" w:eastAsia="en-GB" w:bidi="ar-SA"/>
        </w:rPr>
        <w:t xml:space="preserve">Performance is for the period to 31 </w:t>
      </w:r>
      <w:r w:rsidR="00F43E94">
        <w:rPr>
          <w:i/>
          <w:iCs/>
          <w:lang w:val="en-GB" w:eastAsia="en-GB" w:bidi="ar-SA"/>
        </w:rPr>
        <w:t>March 2023</w:t>
      </w:r>
      <w:r>
        <w:rPr>
          <w:i/>
          <w:iCs/>
          <w:lang w:val="en-GB" w:eastAsia="en-GB" w:bidi="ar-SA"/>
        </w:rPr>
        <w:t>. Source: Prudential</w:t>
      </w:r>
    </w:p>
    <w:p w14:paraId="703A3B27" w14:textId="79820982" w:rsidR="007B415B" w:rsidRPr="00447141" w:rsidRDefault="007B415B" w:rsidP="00847A5D">
      <w:pPr>
        <w:pStyle w:val="Heading2"/>
      </w:pPr>
      <w:r w:rsidRPr="00847A5D">
        <w:t xml:space="preserve">Value for </w:t>
      </w:r>
      <w:r w:rsidRPr="00447141">
        <w:t>members</w:t>
      </w:r>
    </w:p>
    <w:p w14:paraId="14892384" w14:textId="046DB344" w:rsidR="003E06EC" w:rsidRPr="00C022E4" w:rsidRDefault="0077455C" w:rsidP="00EF21AD">
      <w:pPr>
        <w:pStyle w:val="ListParagraph"/>
        <w:numPr>
          <w:ilvl w:val="1"/>
          <w:numId w:val="14"/>
        </w:numPr>
        <w:spacing w:before="120" w:after="120" w:line="264" w:lineRule="auto"/>
        <w:ind w:left="567" w:hanging="567"/>
        <w:contextualSpacing w:val="0"/>
        <w:jc w:val="both"/>
        <w:outlineLvl w:val="1"/>
        <w:rPr>
          <w:lang w:val="en-GB" w:eastAsia="en-GB" w:bidi="ar-SA"/>
        </w:rPr>
      </w:pPr>
      <w:r w:rsidRPr="00483926">
        <w:rPr>
          <w:lang w:val="en-GB" w:eastAsia="en-GB" w:bidi="ar-SA"/>
        </w:rPr>
        <w:t>T</w:t>
      </w:r>
      <w:r w:rsidR="00964306" w:rsidRPr="00483926">
        <w:rPr>
          <w:lang w:val="en-GB" w:eastAsia="en-GB" w:bidi="ar-SA"/>
        </w:rPr>
        <w:t xml:space="preserve">he Trustee </w:t>
      </w:r>
      <w:r w:rsidRPr="00483926">
        <w:rPr>
          <w:lang w:val="en-GB" w:eastAsia="en-GB" w:bidi="ar-SA"/>
        </w:rPr>
        <w:t xml:space="preserve">is required </w:t>
      </w:r>
      <w:r w:rsidR="00964306" w:rsidRPr="00483926">
        <w:rPr>
          <w:lang w:val="en-GB" w:eastAsia="en-GB" w:bidi="ar-SA"/>
        </w:rPr>
        <w:t xml:space="preserve">to assess </w:t>
      </w:r>
      <w:r w:rsidRPr="00483926">
        <w:rPr>
          <w:lang w:val="en-GB" w:eastAsia="en-GB" w:bidi="ar-SA"/>
        </w:rPr>
        <w:t xml:space="preserve">annually </w:t>
      </w:r>
      <w:r w:rsidR="00964306" w:rsidRPr="00483926">
        <w:rPr>
          <w:lang w:val="en-GB" w:eastAsia="en-GB" w:bidi="ar-SA"/>
        </w:rPr>
        <w:t xml:space="preserve">the extent to which the charges and transaction costs borne by members represent </w:t>
      </w:r>
      <w:r w:rsidR="00F529AB" w:rsidRPr="00483926">
        <w:rPr>
          <w:lang w:val="en-GB" w:eastAsia="en-GB" w:bidi="ar-SA"/>
        </w:rPr>
        <w:t xml:space="preserve">good </w:t>
      </w:r>
      <w:r w:rsidR="00964306" w:rsidRPr="00483926">
        <w:rPr>
          <w:lang w:val="en-GB" w:eastAsia="en-GB" w:bidi="ar-SA"/>
        </w:rPr>
        <w:t xml:space="preserve">value.  </w:t>
      </w:r>
    </w:p>
    <w:p w14:paraId="2EE14A12" w14:textId="14683FBD" w:rsidR="00954F88" w:rsidRPr="00C022E4" w:rsidRDefault="00954F88" w:rsidP="00EF21AD">
      <w:pPr>
        <w:pStyle w:val="ListParagraph"/>
        <w:numPr>
          <w:ilvl w:val="1"/>
          <w:numId w:val="14"/>
        </w:numPr>
        <w:spacing w:before="120" w:after="120" w:line="264" w:lineRule="auto"/>
        <w:ind w:left="567" w:hanging="567"/>
        <w:contextualSpacing w:val="0"/>
        <w:jc w:val="both"/>
        <w:outlineLvl w:val="1"/>
        <w:rPr>
          <w:lang w:val="en-GB" w:eastAsia="en-GB" w:bidi="ar-SA"/>
        </w:rPr>
      </w:pPr>
      <w:r w:rsidRPr="00847982">
        <w:rPr>
          <w:lang w:val="en-GB" w:eastAsia="en-GB" w:bidi="ar-SA"/>
        </w:rPr>
        <w:t>Analysis was undertaken by the Trustee’s professional advisers, Barnett Waddingham LLP.</w:t>
      </w:r>
      <w:r>
        <w:rPr>
          <w:lang w:val="en-GB" w:eastAsia="en-GB" w:bidi="ar-SA"/>
        </w:rPr>
        <w:t xml:space="preserve"> </w:t>
      </w:r>
      <w:r w:rsidRPr="00847982">
        <w:rPr>
          <w:lang w:val="en-GB" w:eastAsia="en-GB" w:bidi="ar-SA"/>
        </w:rPr>
        <w:t xml:space="preserve"> </w:t>
      </w:r>
      <w:r w:rsidRPr="00BB707B">
        <w:rPr>
          <w:lang w:val="en-GB" w:eastAsia="en-GB" w:bidi="ar-SA"/>
        </w:rPr>
        <w:t>The Trustee considered this analysis and confirmed assessment of value for members</w:t>
      </w:r>
      <w:r>
        <w:rPr>
          <w:lang w:val="en-GB" w:eastAsia="en-GB" w:bidi="ar-SA"/>
        </w:rPr>
        <w:t xml:space="preserve">, effective as </w:t>
      </w:r>
      <w:proofErr w:type="gramStart"/>
      <w:r>
        <w:rPr>
          <w:lang w:val="en-GB" w:eastAsia="en-GB" w:bidi="ar-SA"/>
        </w:rPr>
        <w:t>at</w:t>
      </w:r>
      <w:proofErr w:type="gramEnd"/>
      <w:r>
        <w:rPr>
          <w:lang w:val="en-GB" w:eastAsia="en-GB" w:bidi="ar-SA"/>
        </w:rPr>
        <w:t xml:space="preserve"> 5 April 2023 and this is </w:t>
      </w:r>
      <w:r w:rsidRPr="00BB707B">
        <w:rPr>
          <w:lang w:val="en-GB" w:eastAsia="en-GB" w:bidi="ar-SA"/>
        </w:rPr>
        <w:t>set out below</w:t>
      </w:r>
    </w:p>
    <w:p w14:paraId="3931B68B" w14:textId="7236277C" w:rsidR="003E06EC" w:rsidRPr="00C022E4" w:rsidRDefault="006039F0" w:rsidP="00EF21AD">
      <w:pPr>
        <w:pStyle w:val="ListParagraph"/>
        <w:numPr>
          <w:ilvl w:val="1"/>
          <w:numId w:val="14"/>
        </w:numPr>
        <w:spacing w:before="120" w:after="120" w:line="264" w:lineRule="auto"/>
        <w:ind w:left="567" w:hanging="567"/>
        <w:contextualSpacing w:val="0"/>
        <w:jc w:val="both"/>
        <w:outlineLvl w:val="1"/>
        <w:rPr>
          <w:lang w:val="en-GB" w:eastAsia="en-GB" w:bidi="ar-SA"/>
        </w:rPr>
      </w:pPr>
      <w:r w:rsidRPr="00483926">
        <w:rPr>
          <w:rFonts w:cs="Segoe UI"/>
          <w:color w:val="000000"/>
          <w:lang w:val="en-GB" w:bidi="ar-SA"/>
        </w:rPr>
        <w:t>Recognising that l</w:t>
      </w:r>
      <w:r w:rsidRPr="00483926">
        <w:rPr>
          <w:lang w:val="en-GB" w:eastAsia="en-GB" w:bidi="ar-SA"/>
        </w:rPr>
        <w:t>ow cost does not necessarily mean good value, t</w:t>
      </w:r>
      <w:r w:rsidR="00D04A8B" w:rsidRPr="00483926">
        <w:rPr>
          <w:rFonts w:eastAsia="Times New Roman" w:cs="Segoe UI"/>
          <w:lang w:eastAsia="en-GB" w:bidi="ar-SA"/>
        </w:rPr>
        <w:t>he assessment consider</w:t>
      </w:r>
      <w:r w:rsidR="005E47AA" w:rsidRPr="00483926">
        <w:rPr>
          <w:rFonts w:eastAsia="Times New Roman" w:cs="Segoe UI"/>
          <w:lang w:eastAsia="en-GB" w:bidi="ar-SA"/>
        </w:rPr>
        <w:t>ed</w:t>
      </w:r>
      <w:r w:rsidR="00D04A8B" w:rsidRPr="00483926">
        <w:rPr>
          <w:rFonts w:eastAsia="Times New Roman" w:cs="Segoe UI"/>
          <w:lang w:eastAsia="en-GB" w:bidi="ar-SA"/>
        </w:rPr>
        <w:t xml:space="preserve"> whether the services for which members pay or share the costs are </w:t>
      </w:r>
      <w:r w:rsidR="00D04A8B">
        <w:t>suitable for, relevant to and (likely to be) valued by members and whether performance of the services ha</w:t>
      </w:r>
      <w:r w:rsidR="005E47AA">
        <w:t>d</w:t>
      </w:r>
      <w:r w:rsidR="00D04A8B">
        <w:t xml:space="preserve"> been effective.  Consideration </w:t>
      </w:r>
      <w:r w:rsidR="005E47AA">
        <w:t>wa</w:t>
      </w:r>
      <w:r w:rsidR="00D04A8B">
        <w:t xml:space="preserve">s also made of </w:t>
      </w:r>
      <w:r w:rsidR="00D04A8B" w:rsidRPr="00483926">
        <w:rPr>
          <w:rFonts w:eastAsia="Times New Roman" w:cs="Segoe UI"/>
          <w:lang w:eastAsia="en-GB" w:bidi="ar-SA"/>
        </w:rPr>
        <w:t xml:space="preserve">the costs relative to other options available in the market.  </w:t>
      </w:r>
    </w:p>
    <w:p w14:paraId="2E059978" w14:textId="0D59DD24" w:rsidR="003E06EC" w:rsidRPr="00C022E4" w:rsidRDefault="00D04A8B" w:rsidP="00EF21AD">
      <w:pPr>
        <w:pStyle w:val="ListParagraph"/>
        <w:numPr>
          <w:ilvl w:val="1"/>
          <w:numId w:val="14"/>
        </w:numPr>
        <w:spacing w:before="120" w:after="120" w:line="264" w:lineRule="auto"/>
        <w:ind w:left="567" w:hanging="567"/>
        <w:contextualSpacing w:val="0"/>
        <w:jc w:val="both"/>
        <w:outlineLvl w:val="1"/>
        <w:rPr>
          <w:lang w:val="en-GB" w:eastAsia="en-GB" w:bidi="ar-SA"/>
        </w:rPr>
      </w:pPr>
      <w:r w:rsidRPr="00483926">
        <w:rPr>
          <w:rFonts w:eastAsia="Times New Roman" w:cs="Segoe UI"/>
          <w:lang w:eastAsia="en-GB" w:bidi="ar-SA"/>
        </w:rPr>
        <w:t xml:space="preserve">Various investment-related services for which members do not directly </w:t>
      </w:r>
      <w:r w:rsidR="00B65381" w:rsidRPr="00483926">
        <w:rPr>
          <w:rFonts w:eastAsia="Times New Roman" w:cs="Segoe UI"/>
          <w:lang w:eastAsia="en-GB" w:bidi="ar-SA"/>
        </w:rPr>
        <w:t xml:space="preserve">bear </w:t>
      </w:r>
      <w:r w:rsidRPr="00483926">
        <w:rPr>
          <w:rFonts w:eastAsia="Times New Roman" w:cs="Segoe UI"/>
          <w:lang w:eastAsia="en-GB" w:bidi="ar-SA"/>
        </w:rPr>
        <w:t xml:space="preserve">the costs are nevertheless inextricably linked to creating the environment under which investment returns are delivered, </w:t>
      </w:r>
      <w:proofErr w:type="gramStart"/>
      <w:r w:rsidRPr="00483926">
        <w:rPr>
          <w:rFonts w:eastAsia="Times New Roman" w:cs="Segoe UI"/>
          <w:lang w:eastAsia="en-GB" w:bidi="ar-SA"/>
        </w:rPr>
        <w:t>e.g.</w:t>
      </w:r>
      <w:proofErr w:type="gramEnd"/>
      <w:r w:rsidRPr="00483926">
        <w:rPr>
          <w:rFonts w:eastAsia="Times New Roman" w:cs="Segoe UI"/>
          <w:lang w:eastAsia="en-GB" w:bidi="ar-SA"/>
        </w:rPr>
        <w:t xml:space="preserve"> strategy, monitoring and the investment governance structure, so these </w:t>
      </w:r>
      <w:r w:rsidR="005E47AA" w:rsidRPr="00483926">
        <w:rPr>
          <w:rFonts w:eastAsia="Times New Roman" w:cs="Segoe UI"/>
          <w:lang w:eastAsia="en-GB" w:bidi="ar-SA"/>
        </w:rPr>
        <w:t>were</w:t>
      </w:r>
      <w:r w:rsidRPr="00483926">
        <w:rPr>
          <w:rFonts w:eastAsia="Times New Roman" w:cs="Segoe UI"/>
          <w:lang w:eastAsia="en-GB" w:bidi="ar-SA"/>
        </w:rPr>
        <w:t xml:space="preserve"> included in the assessment.</w:t>
      </w:r>
    </w:p>
    <w:p w14:paraId="5D120FC4" w14:textId="440ED25E" w:rsidR="00686709" w:rsidRPr="00C022E4" w:rsidRDefault="00B15C87" w:rsidP="00EF21AD">
      <w:pPr>
        <w:pStyle w:val="ListParagraph"/>
        <w:numPr>
          <w:ilvl w:val="1"/>
          <w:numId w:val="14"/>
        </w:numPr>
        <w:spacing w:before="120" w:after="120" w:line="264" w:lineRule="auto"/>
        <w:ind w:left="567" w:hanging="567"/>
        <w:contextualSpacing w:val="0"/>
        <w:jc w:val="both"/>
        <w:outlineLvl w:val="1"/>
        <w:rPr>
          <w:lang w:val="en-GB" w:eastAsia="en-GB" w:bidi="ar-SA"/>
        </w:rPr>
      </w:pPr>
      <w:r w:rsidRPr="004029B9">
        <w:rPr>
          <w:lang w:val="en-GB" w:eastAsia="en-GB" w:bidi="ar-SA"/>
        </w:rPr>
        <w:t xml:space="preserve">Other </w:t>
      </w:r>
      <w:r w:rsidR="005E47AA" w:rsidRPr="004029B9">
        <w:rPr>
          <w:lang w:val="en-GB" w:eastAsia="en-GB" w:bidi="ar-SA"/>
        </w:rPr>
        <w:t xml:space="preserve">services paid for by </w:t>
      </w:r>
      <w:r w:rsidR="001075A5" w:rsidRPr="004029B9">
        <w:rPr>
          <w:lang w:val="en-GB" w:eastAsia="en-GB" w:bidi="ar-SA"/>
        </w:rPr>
        <w:t xml:space="preserve">Urenco Limited </w:t>
      </w:r>
      <w:r w:rsidR="00C93E39" w:rsidRPr="004029B9">
        <w:rPr>
          <w:lang w:val="en-GB" w:eastAsia="en-GB" w:bidi="ar-SA"/>
        </w:rPr>
        <w:t>(“the Company”)</w:t>
      </w:r>
      <w:r w:rsidRPr="004029B9">
        <w:rPr>
          <w:lang w:val="en-GB" w:eastAsia="en-GB" w:bidi="ar-SA"/>
        </w:rPr>
        <w:t xml:space="preserve"> were excluded but nevertheless deliver value to members</w:t>
      </w:r>
      <w:r w:rsidR="005E47AA" w:rsidRPr="004029B9">
        <w:rPr>
          <w:lang w:val="en-GB" w:eastAsia="en-GB" w:bidi="ar-SA"/>
        </w:rPr>
        <w:t xml:space="preserve">, </w:t>
      </w:r>
      <w:proofErr w:type="gramStart"/>
      <w:r w:rsidR="005E47AA" w:rsidRPr="004029B9">
        <w:rPr>
          <w:lang w:val="en-GB" w:eastAsia="en-GB" w:bidi="ar-SA"/>
        </w:rPr>
        <w:t>e.g.</w:t>
      </w:r>
      <w:proofErr w:type="gramEnd"/>
      <w:r w:rsidR="005E47AA" w:rsidRPr="004029B9">
        <w:rPr>
          <w:lang w:val="en-GB" w:eastAsia="en-GB" w:bidi="ar-SA"/>
        </w:rPr>
        <w:t xml:space="preserve"> the services of </w:t>
      </w:r>
      <w:r w:rsidRPr="004029B9">
        <w:rPr>
          <w:lang w:val="en-GB" w:eastAsia="en-GB" w:bidi="ar-SA"/>
        </w:rPr>
        <w:t xml:space="preserve">professional </w:t>
      </w:r>
      <w:r w:rsidR="005E47AA" w:rsidRPr="004029B9">
        <w:rPr>
          <w:lang w:val="en-GB" w:eastAsia="en-GB" w:bidi="ar-SA"/>
        </w:rPr>
        <w:t>advisers</w:t>
      </w:r>
      <w:r w:rsidRPr="004029B9">
        <w:rPr>
          <w:lang w:val="en-GB" w:eastAsia="en-GB" w:bidi="ar-SA"/>
        </w:rPr>
        <w:t xml:space="preserve"> and the </w:t>
      </w:r>
      <w:r w:rsidR="005E47AA" w:rsidRPr="004029B9">
        <w:rPr>
          <w:lang w:val="en-GB" w:eastAsia="en-GB" w:bidi="ar-SA"/>
        </w:rPr>
        <w:t>operation of the trustee board, with a duty to act in the best interest of members</w:t>
      </w:r>
      <w:r w:rsidRPr="004029B9">
        <w:rPr>
          <w:lang w:val="en-GB" w:eastAsia="en-GB" w:bidi="ar-SA"/>
        </w:rPr>
        <w:t>.</w:t>
      </w:r>
    </w:p>
    <w:p w14:paraId="4870988C" w14:textId="7ADF209F" w:rsidR="000F73D2" w:rsidRDefault="000F73D2" w:rsidP="00142844">
      <w:pPr>
        <w:pStyle w:val="Heading2"/>
        <w:rPr>
          <w:lang w:eastAsia="en-GB" w:bidi="ar-SA"/>
        </w:rPr>
      </w:pPr>
      <w:r>
        <w:rPr>
          <w:lang w:eastAsia="en-GB" w:bidi="ar-SA"/>
        </w:rPr>
        <w:t>DC Section</w:t>
      </w:r>
    </w:p>
    <w:p w14:paraId="73FE4A77" w14:textId="77777777" w:rsidR="00EF21AD" w:rsidRDefault="009507A9" w:rsidP="00EF21AD">
      <w:pPr>
        <w:pStyle w:val="ListParagraph"/>
        <w:numPr>
          <w:ilvl w:val="1"/>
          <w:numId w:val="14"/>
        </w:numPr>
        <w:spacing w:before="120" w:after="120" w:line="264" w:lineRule="auto"/>
        <w:ind w:left="567" w:hanging="567"/>
        <w:contextualSpacing w:val="0"/>
        <w:jc w:val="both"/>
        <w:outlineLvl w:val="1"/>
        <w:rPr>
          <w:lang w:val="en-GB" w:eastAsia="en-GB" w:bidi="ar-SA"/>
        </w:rPr>
      </w:pPr>
      <w:r w:rsidRPr="00EF21AD">
        <w:rPr>
          <w:lang w:val="en-GB" w:eastAsia="en-GB" w:bidi="ar-SA"/>
        </w:rPr>
        <w:t xml:space="preserve">In relation to the DC Section, the member-borne charges and </w:t>
      </w:r>
      <w:r w:rsidRPr="004029B9">
        <w:rPr>
          <w:lang w:val="en-GB" w:eastAsia="en-GB" w:bidi="ar-SA"/>
        </w:rPr>
        <w:t xml:space="preserve">transaction </w:t>
      </w:r>
      <w:r w:rsidRPr="00EF21AD">
        <w:rPr>
          <w:lang w:val="en-GB" w:eastAsia="en-GB" w:bidi="ar-SA"/>
        </w:rPr>
        <w:t>costs relate to</w:t>
      </w:r>
      <w:r w:rsidR="0079015B" w:rsidRPr="00EF21AD">
        <w:rPr>
          <w:lang w:val="en-GB" w:eastAsia="en-GB" w:bidi="ar-SA"/>
        </w:rPr>
        <w:t>:</w:t>
      </w:r>
    </w:p>
    <w:p w14:paraId="4E19E018" w14:textId="149DB4CE" w:rsidR="00EF21AD" w:rsidRPr="00EF21AD" w:rsidRDefault="00EF21AD" w:rsidP="00EF21AD">
      <w:pPr>
        <w:pStyle w:val="ListParagraph"/>
        <w:numPr>
          <w:ilvl w:val="2"/>
          <w:numId w:val="14"/>
        </w:numPr>
        <w:spacing w:before="120" w:after="120" w:line="264" w:lineRule="auto"/>
        <w:contextualSpacing w:val="0"/>
        <w:jc w:val="both"/>
        <w:outlineLvl w:val="1"/>
        <w:rPr>
          <w:lang w:val="en-GB" w:eastAsia="en-GB" w:bidi="ar-SA"/>
        </w:rPr>
      </w:pPr>
      <w:r>
        <w:rPr>
          <w:rFonts w:cs="Segoe UI"/>
        </w:rPr>
        <w:t>i</w:t>
      </w:r>
      <w:r w:rsidR="009507A9" w:rsidRPr="00EF21AD">
        <w:rPr>
          <w:rFonts w:cs="Segoe UI"/>
        </w:rPr>
        <w:t xml:space="preserve">nvestment </w:t>
      </w:r>
      <w:r w:rsidR="009507A9" w:rsidRPr="00EF21AD">
        <w:rPr>
          <w:rFonts w:cs="Segoe UI"/>
          <w:color w:val="000000" w:themeColor="text1"/>
        </w:rPr>
        <w:t>services</w:t>
      </w:r>
    </w:p>
    <w:p w14:paraId="7A9C6CEB" w14:textId="7D1ED22F" w:rsidR="00EF21AD" w:rsidRDefault="00EF21AD" w:rsidP="00EF21AD">
      <w:pPr>
        <w:pStyle w:val="ListParagraph"/>
        <w:numPr>
          <w:ilvl w:val="2"/>
          <w:numId w:val="14"/>
        </w:numPr>
        <w:spacing w:before="120" w:after="120" w:line="264" w:lineRule="auto"/>
        <w:contextualSpacing w:val="0"/>
        <w:jc w:val="both"/>
        <w:outlineLvl w:val="1"/>
        <w:rPr>
          <w:lang w:val="en-GB" w:eastAsia="en-GB" w:bidi="ar-SA"/>
        </w:rPr>
      </w:pPr>
      <w:r>
        <w:rPr>
          <w:lang w:val="en-GB" w:eastAsia="en-GB" w:bidi="ar-SA"/>
        </w:rPr>
        <w:t>a</w:t>
      </w:r>
      <w:r w:rsidR="0079015B" w:rsidRPr="00EF21AD">
        <w:rPr>
          <w:lang w:val="en-GB" w:eastAsia="en-GB" w:bidi="ar-SA"/>
        </w:rPr>
        <w:t>dministration services</w:t>
      </w:r>
    </w:p>
    <w:p w14:paraId="2D8CE616" w14:textId="3D67DB53" w:rsidR="00686709" w:rsidRPr="00EF21AD" w:rsidRDefault="00EF21AD" w:rsidP="00EF21AD">
      <w:pPr>
        <w:pStyle w:val="ListParagraph"/>
        <w:numPr>
          <w:ilvl w:val="2"/>
          <w:numId w:val="14"/>
        </w:numPr>
        <w:spacing w:before="120" w:after="120" w:line="264" w:lineRule="auto"/>
        <w:contextualSpacing w:val="0"/>
        <w:jc w:val="both"/>
        <w:outlineLvl w:val="1"/>
        <w:rPr>
          <w:lang w:val="en-GB" w:eastAsia="en-GB" w:bidi="ar-SA"/>
        </w:rPr>
      </w:pPr>
      <w:r>
        <w:rPr>
          <w:lang w:val="en-GB" w:eastAsia="en-GB" w:bidi="ar-SA"/>
        </w:rPr>
        <w:t>c</w:t>
      </w:r>
      <w:r w:rsidR="0079015B" w:rsidRPr="00EF21AD">
        <w:rPr>
          <w:lang w:val="en-GB" w:eastAsia="en-GB" w:bidi="ar-SA"/>
        </w:rPr>
        <w:t>ommunication services</w:t>
      </w:r>
    </w:p>
    <w:p w14:paraId="70791A55" w14:textId="77777777" w:rsidR="00EF21AD" w:rsidRDefault="00303F25" w:rsidP="00910696">
      <w:pPr>
        <w:pStyle w:val="ListParagraph"/>
        <w:numPr>
          <w:ilvl w:val="1"/>
          <w:numId w:val="14"/>
        </w:numPr>
        <w:spacing w:before="120" w:after="0" w:line="264" w:lineRule="auto"/>
        <w:ind w:left="567" w:hanging="567"/>
        <w:contextualSpacing w:val="0"/>
        <w:jc w:val="both"/>
        <w:outlineLvl w:val="1"/>
        <w:rPr>
          <w:lang w:val="en-GB" w:eastAsia="en-GB" w:bidi="ar-SA"/>
        </w:rPr>
      </w:pPr>
      <w:r w:rsidRPr="00A02043">
        <w:rPr>
          <w:lang w:val="en-GB" w:eastAsia="en-GB" w:bidi="ar-SA"/>
        </w:rPr>
        <w:t xml:space="preserve">The assessment </w:t>
      </w:r>
      <w:r w:rsidR="00DB2111" w:rsidRPr="00A02043">
        <w:rPr>
          <w:lang w:val="en-GB" w:eastAsia="en-GB" w:bidi="ar-SA"/>
        </w:rPr>
        <w:t>considered:</w:t>
      </w:r>
    </w:p>
    <w:p w14:paraId="4786CB1C" w14:textId="193BE6A8" w:rsidR="00C13551" w:rsidRPr="00EF21AD" w:rsidRDefault="00EF21AD" w:rsidP="00EF21AD">
      <w:pPr>
        <w:pStyle w:val="ListParagraph"/>
        <w:numPr>
          <w:ilvl w:val="2"/>
          <w:numId w:val="14"/>
        </w:numPr>
        <w:spacing w:before="120" w:after="0" w:line="264" w:lineRule="auto"/>
        <w:contextualSpacing w:val="0"/>
        <w:jc w:val="both"/>
        <w:outlineLvl w:val="1"/>
        <w:rPr>
          <w:lang w:val="en-GB" w:eastAsia="en-GB" w:bidi="ar-SA"/>
        </w:rPr>
      </w:pPr>
      <w:r>
        <w:rPr>
          <w:lang w:val="en-GB" w:eastAsia="en-GB" w:bidi="ar-SA"/>
        </w:rPr>
        <w:t>i</w:t>
      </w:r>
      <w:r w:rsidR="00A30341" w:rsidRPr="00EF21AD">
        <w:rPr>
          <w:lang w:val="en-GB" w:eastAsia="en-GB" w:bidi="ar-SA"/>
        </w:rPr>
        <w:t xml:space="preserve">n relation to investment services: </w:t>
      </w:r>
    </w:p>
    <w:p w14:paraId="6588A51D" w14:textId="7F0DD6CC" w:rsidR="00686709" w:rsidRPr="00A02043" w:rsidRDefault="00E82C02" w:rsidP="00EF21AD">
      <w:pPr>
        <w:pStyle w:val="ListParagraph"/>
        <w:numPr>
          <w:ilvl w:val="3"/>
          <w:numId w:val="14"/>
        </w:numPr>
        <w:spacing w:before="120" w:after="0" w:line="264" w:lineRule="auto"/>
        <w:ind w:left="993" w:hanging="142"/>
        <w:jc w:val="both"/>
        <w:rPr>
          <w:lang w:val="en-GB" w:eastAsia="en-GB" w:bidi="ar-SA"/>
        </w:rPr>
      </w:pPr>
      <w:r w:rsidRPr="00A02043">
        <w:rPr>
          <w:lang w:val="en-GB" w:eastAsia="en-GB" w:bidi="ar-SA"/>
        </w:rPr>
        <w:t xml:space="preserve">the investment strategy, </w:t>
      </w:r>
      <w:proofErr w:type="gramStart"/>
      <w:r w:rsidRPr="00A02043">
        <w:rPr>
          <w:lang w:val="en-GB" w:eastAsia="en-GB" w:bidi="ar-SA"/>
        </w:rPr>
        <w:t>e.g.</w:t>
      </w:r>
      <w:proofErr w:type="gramEnd"/>
      <w:r w:rsidRPr="00A02043">
        <w:rPr>
          <w:lang w:val="en-GB" w:eastAsia="en-GB" w:bidi="ar-SA"/>
        </w:rPr>
        <w:t xml:space="preserve"> the design of the default </w:t>
      </w:r>
      <w:r w:rsidR="00683AF1">
        <w:rPr>
          <w:lang w:val="en-GB" w:eastAsia="en-GB" w:bidi="ar-SA"/>
        </w:rPr>
        <w:t xml:space="preserve">investment arrangement </w:t>
      </w:r>
      <w:r w:rsidRPr="00A02043">
        <w:rPr>
          <w:lang w:val="en-GB" w:eastAsia="en-GB" w:bidi="ar-SA"/>
        </w:rPr>
        <w:t xml:space="preserve">and range of alternative </w:t>
      </w:r>
      <w:r w:rsidR="00C13551" w:rsidRPr="00A02043">
        <w:rPr>
          <w:lang w:val="en-GB" w:eastAsia="en-GB" w:bidi="ar-SA"/>
        </w:rPr>
        <w:t>options</w:t>
      </w:r>
    </w:p>
    <w:p w14:paraId="01E652D4" w14:textId="4035A85C" w:rsidR="00C13551" w:rsidRPr="00A02043" w:rsidRDefault="00C13551" w:rsidP="00FE2F16">
      <w:pPr>
        <w:pStyle w:val="ListParagraph"/>
        <w:numPr>
          <w:ilvl w:val="3"/>
          <w:numId w:val="14"/>
        </w:numPr>
        <w:spacing w:before="120" w:after="0" w:line="264" w:lineRule="auto"/>
        <w:ind w:left="2127" w:hanging="1276"/>
        <w:jc w:val="both"/>
        <w:rPr>
          <w:lang w:val="en-GB" w:eastAsia="en-GB" w:bidi="ar-SA"/>
        </w:rPr>
      </w:pPr>
      <w:r w:rsidRPr="00A02043">
        <w:rPr>
          <w:lang w:val="en-GB" w:eastAsia="en-GB" w:bidi="ar-SA"/>
        </w:rPr>
        <w:lastRenderedPageBreak/>
        <w:t xml:space="preserve">the arrangements for monitoring the performance of the investment </w:t>
      </w:r>
      <w:r w:rsidR="00E82C02" w:rsidRPr="00A02043">
        <w:rPr>
          <w:lang w:val="en-GB" w:eastAsia="en-GB" w:bidi="ar-SA"/>
        </w:rPr>
        <w:t xml:space="preserve">options and reviewing the investment </w:t>
      </w:r>
      <w:proofErr w:type="gramStart"/>
      <w:r w:rsidR="00E82C02" w:rsidRPr="00A02043">
        <w:rPr>
          <w:lang w:val="en-GB" w:eastAsia="en-GB" w:bidi="ar-SA"/>
        </w:rPr>
        <w:t>strategy</w:t>
      </w:r>
      <w:proofErr w:type="gramEnd"/>
    </w:p>
    <w:p w14:paraId="783BC8B9" w14:textId="38FCC484" w:rsidR="00686709" w:rsidRPr="00A02043" w:rsidRDefault="00C13551" w:rsidP="00EF21AD">
      <w:pPr>
        <w:pStyle w:val="ListParagraph"/>
        <w:numPr>
          <w:ilvl w:val="3"/>
          <w:numId w:val="14"/>
        </w:numPr>
        <w:spacing w:before="120" w:after="0" w:line="264" w:lineRule="auto"/>
        <w:ind w:left="993" w:hanging="142"/>
        <w:jc w:val="both"/>
        <w:rPr>
          <w:lang w:val="en-GB" w:eastAsia="en-GB" w:bidi="ar-SA"/>
        </w:rPr>
      </w:pPr>
      <w:r w:rsidRPr="004029B9">
        <w:rPr>
          <w:lang w:val="en-GB" w:eastAsia="en-GB" w:bidi="ar-SA"/>
        </w:rPr>
        <w:t xml:space="preserve">the </w:t>
      </w:r>
      <w:r w:rsidR="00407589" w:rsidRPr="004029B9">
        <w:rPr>
          <w:lang w:val="en-GB" w:eastAsia="en-GB" w:bidi="ar-SA"/>
        </w:rPr>
        <w:t xml:space="preserve">investment </w:t>
      </w:r>
      <w:r w:rsidRPr="004029B9">
        <w:rPr>
          <w:lang w:val="en-GB" w:eastAsia="en-GB" w:bidi="ar-SA"/>
        </w:rPr>
        <w:t>governance arrangements</w:t>
      </w:r>
    </w:p>
    <w:p w14:paraId="52FE7DE8" w14:textId="564AA1D5" w:rsidR="00B2489A" w:rsidRPr="004029B9" w:rsidRDefault="00B2489A" w:rsidP="00910696">
      <w:pPr>
        <w:pStyle w:val="ListParagraph"/>
        <w:numPr>
          <w:ilvl w:val="2"/>
          <w:numId w:val="14"/>
        </w:numPr>
        <w:spacing w:before="120" w:after="0" w:line="264" w:lineRule="auto"/>
        <w:contextualSpacing w:val="0"/>
        <w:jc w:val="both"/>
        <w:outlineLvl w:val="1"/>
        <w:rPr>
          <w:lang w:val="en-GB" w:eastAsia="en-GB" w:bidi="ar-SA"/>
        </w:rPr>
      </w:pPr>
      <w:r w:rsidRPr="004029B9">
        <w:rPr>
          <w:lang w:val="en-GB" w:eastAsia="en-GB" w:bidi="ar-SA"/>
        </w:rPr>
        <w:t xml:space="preserve">in relation to </w:t>
      </w:r>
      <w:r w:rsidR="007A720F" w:rsidRPr="00910696">
        <w:rPr>
          <w:lang w:val="en-GB" w:eastAsia="en-GB" w:bidi="ar-SA"/>
        </w:rPr>
        <w:t xml:space="preserve">administration </w:t>
      </w:r>
      <w:r w:rsidRPr="00910696">
        <w:rPr>
          <w:lang w:val="en-GB" w:eastAsia="en-GB" w:bidi="ar-SA"/>
        </w:rPr>
        <w:t>services</w:t>
      </w:r>
      <w:r w:rsidRPr="004029B9">
        <w:rPr>
          <w:lang w:val="en-GB" w:eastAsia="en-GB" w:bidi="ar-SA"/>
        </w:rPr>
        <w:t>:</w:t>
      </w:r>
    </w:p>
    <w:p w14:paraId="34BA5866" w14:textId="450A04FE" w:rsidR="003B23D3" w:rsidRPr="004029B9" w:rsidRDefault="00A30341" w:rsidP="00910696">
      <w:pPr>
        <w:pStyle w:val="ListParagraph"/>
        <w:numPr>
          <w:ilvl w:val="3"/>
          <w:numId w:val="14"/>
        </w:numPr>
        <w:spacing w:before="120" w:after="0" w:line="264" w:lineRule="auto"/>
        <w:ind w:left="993" w:hanging="142"/>
        <w:jc w:val="both"/>
        <w:rPr>
          <w:lang w:val="en-GB" w:eastAsia="en-GB" w:bidi="ar-SA"/>
        </w:rPr>
      </w:pPr>
      <w:r w:rsidRPr="004029B9">
        <w:rPr>
          <w:lang w:val="en-GB" w:eastAsia="en-GB" w:bidi="ar-SA"/>
        </w:rPr>
        <w:t xml:space="preserve">the </w:t>
      </w:r>
      <w:r w:rsidR="003B23D3" w:rsidRPr="004029B9">
        <w:rPr>
          <w:lang w:val="en-GB" w:eastAsia="en-GB" w:bidi="ar-SA"/>
        </w:rPr>
        <w:t>general administration arrangements</w:t>
      </w:r>
    </w:p>
    <w:p w14:paraId="594C8C67" w14:textId="484DFD16" w:rsidR="003B23D3" w:rsidRPr="004029B9" w:rsidRDefault="003B23D3" w:rsidP="00910696">
      <w:pPr>
        <w:pStyle w:val="ListParagraph"/>
        <w:numPr>
          <w:ilvl w:val="3"/>
          <w:numId w:val="14"/>
        </w:numPr>
        <w:spacing w:before="120" w:after="0" w:line="264" w:lineRule="auto"/>
        <w:ind w:left="993" w:hanging="142"/>
        <w:jc w:val="both"/>
        <w:rPr>
          <w:lang w:val="en-GB" w:eastAsia="en-GB" w:bidi="ar-SA"/>
        </w:rPr>
      </w:pPr>
      <w:r w:rsidRPr="004029B9">
        <w:rPr>
          <w:lang w:val="en-GB" w:eastAsia="en-GB" w:bidi="ar-SA"/>
        </w:rPr>
        <w:t>arrangements in relation to financial transactions</w:t>
      </w:r>
    </w:p>
    <w:p w14:paraId="2E8EFE03" w14:textId="69FAF903" w:rsidR="0089776B" w:rsidRPr="004029B9" w:rsidRDefault="003B23D3" w:rsidP="00910696">
      <w:pPr>
        <w:pStyle w:val="ListParagraph"/>
        <w:numPr>
          <w:ilvl w:val="3"/>
          <w:numId w:val="14"/>
        </w:numPr>
        <w:spacing w:before="120" w:after="0" w:line="264" w:lineRule="auto"/>
        <w:ind w:left="993" w:hanging="142"/>
        <w:jc w:val="both"/>
        <w:rPr>
          <w:lang w:val="en-GB" w:eastAsia="en-GB" w:bidi="ar-SA"/>
        </w:rPr>
      </w:pPr>
      <w:r w:rsidRPr="004029B9">
        <w:rPr>
          <w:lang w:val="en-GB" w:eastAsia="en-GB" w:bidi="ar-SA"/>
        </w:rPr>
        <w:t>data and record keeping</w:t>
      </w:r>
    </w:p>
    <w:p w14:paraId="5E59B9E0" w14:textId="23947286" w:rsidR="003B23D3" w:rsidRPr="00F25E4B" w:rsidRDefault="003B23D3" w:rsidP="00910696">
      <w:pPr>
        <w:pStyle w:val="ListParagraph"/>
        <w:numPr>
          <w:ilvl w:val="2"/>
          <w:numId w:val="14"/>
        </w:numPr>
        <w:spacing w:before="120" w:after="0" w:line="264" w:lineRule="auto"/>
        <w:contextualSpacing w:val="0"/>
        <w:jc w:val="both"/>
        <w:outlineLvl w:val="1"/>
        <w:rPr>
          <w:lang w:val="en-GB" w:eastAsia="en-GB" w:bidi="ar-SA"/>
        </w:rPr>
      </w:pPr>
      <w:r w:rsidRPr="00F25E4B">
        <w:rPr>
          <w:lang w:val="en-GB" w:eastAsia="en-GB" w:bidi="ar-SA"/>
        </w:rPr>
        <w:t xml:space="preserve">in relation to </w:t>
      </w:r>
      <w:r w:rsidRPr="00910696">
        <w:rPr>
          <w:lang w:val="en-GB" w:eastAsia="en-GB" w:bidi="ar-SA"/>
        </w:rPr>
        <w:t>communication services</w:t>
      </w:r>
      <w:r w:rsidRPr="00F25E4B">
        <w:rPr>
          <w:lang w:val="en-GB" w:eastAsia="en-GB" w:bidi="ar-SA"/>
        </w:rPr>
        <w:t>:</w:t>
      </w:r>
    </w:p>
    <w:p w14:paraId="3DD88D12" w14:textId="175E931A" w:rsidR="003B23D3" w:rsidRPr="00F25E4B" w:rsidRDefault="003B23D3" w:rsidP="00910696">
      <w:pPr>
        <w:pStyle w:val="ListParagraph"/>
        <w:numPr>
          <w:ilvl w:val="3"/>
          <w:numId w:val="14"/>
        </w:numPr>
        <w:spacing w:before="120" w:after="0" w:line="264" w:lineRule="auto"/>
        <w:ind w:left="993" w:hanging="142"/>
        <w:jc w:val="both"/>
        <w:rPr>
          <w:lang w:val="en-GB" w:eastAsia="en-GB" w:bidi="ar-SA"/>
        </w:rPr>
      </w:pPr>
      <w:r w:rsidRPr="00F25E4B">
        <w:rPr>
          <w:lang w:val="en-GB" w:eastAsia="en-GB" w:bidi="ar-SA"/>
        </w:rPr>
        <w:t>communication strategy</w:t>
      </w:r>
    </w:p>
    <w:p w14:paraId="1C281538" w14:textId="7AFAC65A" w:rsidR="003B23D3" w:rsidRPr="004029B9" w:rsidRDefault="003B23D3" w:rsidP="00910696">
      <w:pPr>
        <w:pStyle w:val="ListParagraph"/>
        <w:numPr>
          <w:ilvl w:val="3"/>
          <w:numId w:val="14"/>
        </w:numPr>
        <w:spacing w:before="120" w:after="0" w:line="264" w:lineRule="auto"/>
        <w:ind w:left="993" w:hanging="142"/>
        <w:jc w:val="both"/>
        <w:rPr>
          <w:lang w:val="en-GB" w:eastAsia="en-GB" w:bidi="ar-SA"/>
        </w:rPr>
      </w:pPr>
      <w:r w:rsidRPr="004029B9">
        <w:rPr>
          <w:lang w:val="en-GB" w:eastAsia="en-GB" w:bidi="ar-SA"/>
        </w:rPr>
        <w:t>pre-retirement communications</w:t>
      </w:r>
    </w:p>
    <w:p w14:paraId="5F9BE26C" w14:textId="13A99A1D" w:rsidR="003E06EC" w:rsidRPr="00B31D32" w:rsidRDefault="003B23D3" w:rsidP="00B31D32">
      <w:pPr>
        <w:pStyle w:val="ListParagraph"/>
        <w:numPr>
          <w:ilvl w:val="3"/>
          <w:numId w:val="14"/>
        </w:numPr>
        <w:spacing w:before="120" w:after="0" w:line="264" w:lineRule="auto"/>
        <w:ind w:left="993" w:hanging="142"/>
        <w:jc w:val="both"/>
        <w:rPr>
          <w:lang w:val="en-GB" w:eastAsia="en-GB" w:bidi="ar-SA"/>
        </w:rPr>
      </w:pPr>
      <w:r w:rsidRPr="004029B9">
        <w:rPr>
          <w:lang w:val="en-GB" w:eastAsia="en-GB" w:bidi="ar-SA"/>
        </w:rPr>
        <w:t>at/</w:t>
      </w:r>
      <w:r w:rsidR="00683AF1" w:rsidRPr="004029B9">
        <w:rPr>
          <w:lang w:val="en-GB" w:eastAsia="en-GB" w:bidi="ar-SA"/>
        </w:rPr>
        <w:t>post-retirement</w:t>
      </w:r>
      <w:r w:rsidRPr="004029B9">
        <w:rPr>
          <w:lang w:val="en-GB" w:eastAsia="en-GB" w:bidi="ar-SA"/>
        </w:rPr>
        <w:t xml:space="preserve"> communications</w:t>
      </w:r>
    </w:p>
    <w:p w14:paraId="5FC5D4C8" w14:textId="6DB15A11" w:rsidR="00910696" w:rsidRDefault="00E25237" w:rsidP="00910696">
      <w:pPr>
        <w:pStyle w:val="ListParagraph"/>
        <w:numPr>
          <w:ilvl w:val="1"/>
          <w:numId w:val="14"/>
        </w:numPr>
        <w:spacing w:before="120" w:after="120" w:line="264" w:lineRule="auto"/>
        <w:ind w:left="567" w:hanging="567"/>
        <w:contextualSpacing w:val="0"/>
        <w:jc w:val="both"/>
        <w:outlineLvl w:val="1"/>
        <w:rPr>
          <w:lang w:val="en-GB" w:eastAsia="en-GB" w:bidi="ar-SA"/>
        </w:rPr>
      </w:pPr>
      <w:r w:rsidRPr="003E06EC">
        <w:rPr>
          <w:lang w:val="en-GB" w:eastAsia="en-GB" w:bidi="ar-SA"/>
        </w:rPr>
        <w:t xml:space="preserve">The Trustee concluded that the DC Section offers </w:t>
      </w:r>
      <w:r w:rsidR="00667DC1" w:rsidRPr="00FE2F16">
        <w:rPr>
          <w:b/>
          <w:bCs/>
          <w:lang w:val="en-GB" w:eastAsia="en-GB" w:bidi="ar-SA"/>
        </w:rPr>
        <w:t xml:space="preserve">excellent </w:t>
      </w:r>
      <w:r w:rsidRPr="00FE2F16">
        <w:rPr>
          <w:b/>
          <w:bCs/>
          <w:lang w:val="en-GB" w:eastAsia="en-GB" w:bidi="ar-SA"/>
        </w:rPr>
        <w:t>value</w:t>
      </w:r>
      <w:r w:rsidRPr="003E06EC">
        <w:rPr>
          <w:lang w:val="en-GB" w:eastAsia="en-GB" w:bidi="ar-SA"/>
        </w:rPr>
        <w:t xml:space="preserve"> in relation to the charges and transaction </w:t>
      </w:r>
      <w:r w:rsidR="003E06EC">
        <w:rPr>
          <w:lang w:val="en-GB" w:eastAsia="en-GB" w:bidi="ar-SA"/>
        </w:rPr>
        <w:t xml:space="preserve">     </w:t>
      </w:r>
      <w:r w:rsidRPr="003E06EC">
        <w:rPr>
          <w:lang w:val="en-GB" w:eastAsia="en-GB" w:bidi="ar-SA"/>
        </w:rPr>
        <w:t xml:space="preserve">costs borne by </w:t>
      </w:r>
      <w:r w:rsidRPr="00910696">
        <w:rPr>
          <w:lang w:val="en-GB" w:eastAsia="en-GB" w:bidi="ar-SA"/>
        </w:rPr>
        <w:t xml:space="preserve">members. </w:t>
      </w:r>
    </w:p>
    <w:p w14:paraId="77E6F8DF" w14:textId="77777777" w:rsidR="00910696" w:rsidRPr="00910696" w:rsidRDefault="00E25237" w:rsidP="00910696">
      <w:pPr>
        <w:pStyle w:val="ListParagraph"/>
        <w:numPr>
          <w:ilvl w:val="1"/>
          <w:numId w:val="14"/>
        </w:numPr>
        <w:spacing w:before="120" w:after="120" w:line="264" w:lineRule="auto"/>
        <w:ind w:left="567" w:hanging="567"/>
        <w:contextualSpacing w:val="0"/>
        <w:jc w:val="both"/>
        <w:outlineLvl w:val="1"/>
        <w:rPr>
          <w:lang w:val="en-GB" w:eastAsia="en-GB" w:bidi="ar-SA"/>
        </w:rPr>
      </w:pPr>
      <w:r w:rsidRPr="00910696">
        <w:rPr>
          <w:rFonts w:cs="Segoe UI"/>
          <w:lang w:val="en-GB" w:eastAsia="en-GB" w:bidi="ar-SA"/>
        </w:rPr>
        <w:t>In reaching this conclusion, the Trustee recognised:</w:t>
      </w:r>
    </w:p>
    <w:p w14:paraId="7137C426" w14:textId="21A5EE86" w:rsidR="00910696" w:rsidRPr="00910696" w:rsidRDefault="001F4851" w:rsidP="00910696">
      <w:pPr>
        <w:pStyle w:val="ListParagraph"/>
        <w:numPr>
          <w:ilvl w:val="2"/>
          <w:numId w:val="14"/>
        </w:numPr>
        <w:spacing w:before="120" w:after="120" w:line="264" w:lineRule="auto"/>
        <w:contextualSpacing w:val="0"/>
        <w:jc w:val="both"/>
        <w:outlineLvl w:val="1"/>
        <w:rPr>
          <w:lang w:val="en-GB" w:eastAsia="en-GB" w:bidi="ar-SA"/>
        </w:rPr>
      </w:pPr>
      <w:r w:rsidRPr="00910696">
        <w:rPr>
          <w:rFonts w:cs="Segoe UI"/>
          <w:color w:val="000000"/>
          <w:lang w:val="en-GB" w:bidi="ar-SA"/>
        </w:rPr>
        <w:t xml:space="preserve">Members have access to three lifestyle arrangements (including the default investment </w:t>
      </w:r>
      <w:r w:rsidR="00683AF1">
        <w:rPr>
          <w:rFonts w:cs="Segoe UI"/>
          <w:color w:val="000000"/>
          <w:lang w:val="en-GB" w:bidi="ar-SA"/>
        </w:rPr>
        <w:t>arrangement</w:t>
      </w:r>
      <w:r w:rsidRPr="00910696">
        <w:rPr>
          <w:rFonts w:cs="Segoe UI"/>
          <w:color w:val="000000"/>
          <w:lang w:val="en-GB" w:bidi="ar-SA"/>
        </w:rPr>
        <w:t xml:space="preserve">), which provide appropriate investment protections for each of the retirement benefit options available. The design of the current default </w:t>
      </w:r>
      <w:r w:rsidR="00683AF1">
        <w:rPr>
          <w:rFonts w:cs="Segoe UI"/>
          <w:color w:val="000000"/>
          <w:lang w:val="en-GB" w:bidi="ar-SA"/>
        </w:rPr>
        <w:t xml:space="preserve">investment arrangement </w:t>
      </w:r>
      <w:proofErr w:type="gramStart"/>
      <w:r w:rsidR="0054332E">
        <w:rPr>
          <w:rFonts w:cs="Segoe UI"/>
          <w:color w:val="000000"/>
          <w:lang w:val="en-GB" w:bidi="ar-SA"/>
        </w:rPr>
        <w:t>takes</w:t>
      </w:r>
      <w:r w:rsidR="0054332E" w:rsidRPr="00910696">
        <w:rPr>
          <w:rFonts w:cs="Segoe UI"/>
          <w:color w:val="000000"/>
          <w:lang w:val="en-GB" w:bidi="ar-SA"/>
        </w:rPr>
        <w:t xml:space="preserve"> </w:t>
      </w:r>
      <w:r w:rsidRPr="00910696">
        <w:rPr>
          <w:rFonts w:cs="Segoe UI"/>
          <w:color w:val="000000"/>
          <w:lang w:val="en-GB" w:bidi="ar-SA"/>
        </w:rPr>
        <w:t>into account</w:t>
      </w:r>
      <w:proofErr w:type="gramEnd"/>
      <w:r w:rsidRPr="00910696">
        <w:rPr>
          <w:rFonts w:cs="Segoe UI"/>
          <w:color w:val="000000"/>
          <w:lang w:val="en-GB" w:bidi="ar-SA"/>
        </w:rPr>
        <w:t xml:space="preserve"> member analytics and </w:t>
      </w:r>
      <w:r w:rsidR="00561F25" w:rsidRPr="00910696">
        <w:rPr>
          <w:rFonts w:cs="Segoe UI"/>
          <w:color w:val="000000"/>
          <w:lang w:val="en-GB" w:bidi="ar-SA"/>
        </w:rPr>
        <w:t>feedback and</w:t>
      </w:r>
      <w:r w:rsidRPr="00910696">
        <w:rPr>
          <w:rFonts w:cs="Segoe UI"/>
          <w:color w:val="000000"/>
          <w:lang w:val="en-GB" w:bidi="ar-SA"/>
        </w:rPr>
        <w:t xml:space="preserve"> is formally reviewed on a triennial basis</w:t>
      </w:r>
      <w:r w:rsidR="00561F25">
        <w:rPr>
          <w:rFonts w:cs="Segoe UI"/>
          <w:color w:val="000000"/>
          <w:lang w:val="en-GB" w:bidi="ar-SA"/>
        </w:rPr>
        <w:t xml:space="preserve"> (completed May 2023)</w:t>
      </w:r>
      <w:r w:rsidRPr="00910696">
        <w:rPr>
          <w:rFonts w:cs="Segoe UI"/>
          <w:color w:val="000000"/>
          <w:lang w:val="en-GB" w:bidi="ar-SA"/>
        </w:rPr>
        <w:t>.</w:t>
      </w:r>
    </w:p>
    <w:p w14:paraId="756CC538" w14:textId="77777777" w:rsidR="00910696" w:rsidRPr="00910696" w:rsidRDefault="001F4851" w:rsidP="00910696">
      <w:pPr>
        <w:pStyle w:val="ListParagraph"/>
        <w:numPr>
          <w:ilvl w:val="2"/>
          <w:numId w:val="14"/>
        </w:numPr>
        <w:spacing w:before="120" w:after="120" w:line="264" w:lineRule="auto"/>
        <w:contextualSpacing w:val="0"/>
        <w:jc w:val="both"/>
        <w:outlineLvl w:val="1"/>
        <w:rPr>
          <w:lang w:val="en-GB" w:eastAsia="en-GB" w:bidi="ar-SA"/>
        </w:rPr>
      </w:pPr>
      <w:r w:rsidRPr="00910696">
        <w:rPr>
          <w:rFonts w:cs="Segoe UI"/>
          <w:color w:val="000000"/>
          <w:lang w:val="en-GB" w:bidi="ar-SA"/>
        </w:rPr>
        <w:t>Members have access to an investment guide and Target Plan, Aegon’s online member site, which provides access to fund factsheets, investment market oversight and charting and modelling tools.</w:t>
      </w:r>
    </w:p>
    <w:p w14:paraId="64D29923" w14:textId="77777777" w:rsidR="00910696" w:rsidRPr="00910696" w:rsidRDefault="001E76AB" w:rsidP="00910696">
      <w:pPr>
        <w:pStyle w:val="ListParagraph"/>
        <w:numPr>
          <w:ilvl w:val="2"/>
          <w:numId w:val="14"/>
        </w:numPr>
        <w:spacing w:before="120" w:after="120" w:line="264" w:lineRule="auto"/>
        <w:contextualSpacing w:val="0"/>
        <w:jc w:val="both"/>
        <w:outlineLvl w:val="1"/>
        <w:rPr>
          <w:lang w:val="en-GB" w:eastAsia="en-GB" w:bidi="ar-SA"/>
        </w:rPr>
      </w:pPr>
      <w:r w:rsidRPr="00910696">
        <w:rPr>
          <w:rFonts w:cs="Segoe UI"/>
          <w:color w:val="000000"/>
          <w:lang w:val="en-GB" w:bidi="ar-SA"/>
        </w:rPr>
        <w:t>T</w:t>
      </w:r>
      <w:r w:rsidR="00516A27" w:rsidRPr="00910696">
        <w:rPr>
          <w:rFonts w:cs="Segoe UI"/>
          <w:color w:val="000000"/>
          <w:lang w:val="en-GB" w:bidi="ar-SA"/>
        </w:rPr>
        <w:t>he charges paid by members are greater than the average of comparable scheme, however this is due to expense of the active Urenco PS Diversified Growth Fund</w:t>
      </w:r>
      <w:r w:rsidRPr="00910696">
        <w:rPr>
          <w:rFonts w:cs="Segoe UI"/>
          <w:color w:val="000000"/>
          <w:lang w:val="en-GB" w:bidi="ar-SA"/>
        </w:rPr>
        <w:t xml:space="preserve"> which should better manage members volatility exposure. </w:t>
      </w:r>
    </w:p>
    <w:p w14:paraId="28EA940E" w14:textId="03DFD668" w:rsidR="00910696" w:rsidRPr="00910696" w:rsidRDefault="001F4851" w:rsidP="00910696">
      <w:pPr>
        <w:pStyle w:val="ListParagraph"/>
        <w:numPr>
          <w:ilvl w:val="2"/>
          <w:numId w:val="14"/>
        </w:numPr>
        <w:spacing w:before="120" w:after="120" w:line="264" w:lineRule="auto"/>
        <w:contextualSpacing w:val="0"/>
        <w:jc w:val="both"/>
        <w:outlineLvl w:val="1"/>
        <w:rPr>
          <w:lang w:val="en-GB" w:eastAsia="en-GB" w:bidi="ar-SA"/>
        </w:rPr>
      </w:pPr>
      <w:r w:rsidRPr="00910696">
        <w:rPr>
          <w:rFonts w:cs="Segoe UI"/>
          <w:color w:val="000000"/>
          <w:lang w:val="en-GB" w:bidi="ar-SA"/>
        </w:rPr>
        <w:t xml:space="preserve">The Trustee has in place a governance structure that allows them to monitor the performance of Aegon against their SLA’s, </w:t>
      </w:r>
      <w:r w:rsidR="00654B2C" w:rsidRPr="00910696">
        <w:rPr>
          <w:rFonts w:cs="Segoe UI"/>
          <w:color w:val="000000"/>
          <w:lang w:val="en-GB" w:bidi="ar-SA"/>
        </w:rPr>
        <w:t>they recognise that</w:t>
      </w:r>
      <w:r w:rsidR="00954F88">
        <w:rPr>
          <w:rFonts w:cs="Segoe UI"/>
          <w:color w:val="000000"/>
          <w:lang w:val="en-GB" w:bidi="ar-SA"/>
        </w:rPr>
        <w:t xml:space="preserve"> improvements have been made in respect of general scheme administration although there </w:t>
      </w:r>
      <w:r w:rsidR="00683AF1">
        <w:rPr>
          <w:rFonts w:cs="Segoe UI"/>
          <w:color w:val="000000"/>
          <w:lang w:val="en-GB" w:bidi="ar-SA"/>
        </w:rPr>
        <w:t>remain</w:t>
      </w:r>
      <w:r w:rsidR="00954F88">
        <w:rPr>
          <w:rFonts w:cs="Segoe UI"/>
          <w:color w:val="000000"/>
          <w:lang w:val="en-GB" w:bidi="ar-SA"/>
        </w:rPr>
        <w:t xml:space="preserve"> concerns at the delays experienced by members wanting to access their </w:t>
      </w:r>
      <w:r w:rsidR="00667DC1">
        <w:rPr>
          <w:rFonts w:cs="Segoe UI"/>
          <w:color w:val="000000"/>
          <w:lang w:val="en-GB" w:bidi="ar-SA"/>
        </w:rPr>
        <w:t xml:space="preserve">benefits </w:t>
      </w:r>
      <w:r w:rsidR="00954F88">
        <w:rPr>
          <w:rFonts w:cs="Segoe UI"/>
          <w:color w:val="000000"/>
          <w:lang w:val="en-GB" w:bidi="ar-SA"/>
        </w:rPr>
        <w:t>at retirement.  The Trustee acknowledges the recovery plan that Aegon has implemented to address the issues and will continue to monitor performance</w:t>
      </w:r>
      <w:r w:rsidR="00654B2C" w:rsidRPr="00910696">
        <w:rPr>
          <w:rFonts w:cs="Segoe UI"/>
          <w:color w:val="000000"/>
          <w:lang w:val="en-GB" w:bidi="ar-SA"/>
        </w:rPr>
        <w:t xml:space="preserve">.  The Trustee </w:t>
      </w:r>
      <w:r w:rsidR="00145260" w:rsidRPr="00910696">
        <w:rPr>
          <w:rFonts w:cs="Segoe UI"/>
          <w:color w:val="000000"/>
          <w:lang w:val="en-GB" w:bidi="ar-SA"/>
        </w:rPr>
        <w:t>ha</w:t>
      </w:r>
      <w:r w:rsidR="00145260">
        <w:rPr>
          <w:rFonts w:cs="Segoe UI"/>
          <w:color w:val="000000"/>
          <w:lang w:val="en-GB" w:bidi="ar-SA"/>
        </w:rPr>
        <w:t>s</w:t>
      </w:r>
      <w:r w:rsidR="00145260" w:rsidRPr="00910696">
        <w:rPr>
          <w:rFonts w:cs="Segoe UI"/>
          <w:color w:val="000000"/>
          <w:lang w:val="en-GB" w:bidi="ar-SA"/>
        </w:rPr>
        <w:t xml:space="preserve"> </w:t>
      </w:r>
      <w:r w:rsidR="00654B2C" w:rsidRPr="00910696">
        <w:rPr>
          <w:rFonts w:cs="Segoe UI"/>
          <w:color w:val="000000"/>
          <w:lang w:val="en-GB" w:bidi="ar-SA"/>
        </w:rPr>
        <w:t xml:space="preserve">also agreed that Aegon will attend one governance meeting a year to report back on progress and ensure continued visibility.  </w:t>
      </w:r>
    </w:p>
    <w:p w14:paraId="41645997" w14:textId="6F06371C" w:rsidR="001F4851" w:rsidRPr="00F57CA9" w:rsidRDefault="00310108" w:rsidP="00910696">
      <w:pPr>
        <w:pStyle w:val="ListParagraph"/>
        <w:numPr>
          <w:ilvl w:val="2"/>
          <w:numId w:val="14"/>
        </w:numPr>
        <w:spacing w:before="120" w:after="120" w:line="264" w:lineRule="auto"/>
        <w:contextualSpacing w:val="0"/>
        <w:jc w:val="both"/>
        <w:outlineLvl w:val="1"/>
        <w:rPr>
          <w:lang w:val="en-GB" w:eastAsia="en-GB" w:bidi="ar-SA"/>
        </w:rPr>
      </w:pPr>
      <w:r>
        <w:rPr>
          <w:lang w:val="en-GB" w:eastAsia="en-GB" w:bidi="ar-SA"/>
        </w:rPr>
        <w:t>The outcome of the</w:t>
      </w:r>
      <w:r w:rsidR="001F41AC">
        <w:rPr>
          <w:lang w:val="en-GB" w:eastAsia="en-GB" w:bidi="ar-SA"/>
        </w:rPr>
        <w:t xml:space="preserve"> Tri</w:t>
      </w:r>
      <w:r w:rsidR="00683AF1">
        <w:rPr>
          <w:lang w:val="en-GB" w:eastAsia="en-GB" w:bidi="ar-SA"/>
        </w:rPr>
        <w:t xml:space="preserve">ennial </w:t>
      </w:r>
      <w:r w:rsidR="001F41AC">
        <w:rPr>
          <w:lang w:val="en-GB" w:eastAsia="en-GB" w:bidi="ar-SA"/>
        </w:rPr>
        <w:t xml:space="preserve">Investment </w:t>
      </w:r>
      <w:r w:rsidR="00683AF1">
        <w:rPr>
          <w:lang w:val="en-GB" w:eastAsia="en-GB" w:bidi="ar-SA"/>
        </w:rPr>
        <w:t>Review t</w:t>
      </w:r>
      <w:r>
        <w:rPr>
          <w:lang w:val="en-GB" w:eastAsia="en-GB" w:bidi="ar-SA"/>
        </w:rPr>
        <w:t xml:space="preserve">hat took place during the </w:t>
      </w:r>
      <w:r w:rsidR="00561F25">
        <w:rPr>
          <w:lang w:val="en-GB" w:eastAsia="en-GB" w:bidi="ar-SA"/>
        </w:rPr>
        <w:t>S</w:t>
      </w:r>
      <w:r>
        <w:rPr>
          <w:lang w:val="en-GB" w:eastAsia="en-GB" w:bidi="ar-SA"/>
        </w:rPr>
        <w:t>cheme yea</w:t>
      </w:r>
      <w:r w:rsidR="00777824">
        <w:rPr>
          <w:lang w:val="en-GB" w:eastAsia="en-GB" w:bidi="ar-SA"/>
        </w:rPr>
        <w:t xml:space="preserve">r (albeit </w:t>
      </w:r>
      <w:r w:rsidR="001F41AC">
        <w:rPr>
          <w:lang w:val="en-GB" w:eastAsia="en-GB" w:bidi="ar-SA"/>
        </w:rPr>
        <w:t xml:space="preserve">the </w:t>
      </w:r>
      <w:r w:rsidR="00777824">
        <w:rPr>
          <w:lang w:val="en-GB" w:eastAsia="en-GB" w:bidi="ar-SA"/>
        </w:rPr>
        <w:t xml:space="preserve">results were presented </w:t>
      </w:r>
      <w:r w:rsidR="001F41AC">
        <w:rPr>
          <w:lang w:val="en-GB" w:eastAsia="en-GB" w:bidi="ar-SA"/>
        </w:rPr>
        <w:t>to the Trustee outside of the Scheme year in May 2023</w:t>
      </w:r>
      <w:r w:rsidR="00777824">
        <w:rPr>
          <w:lang w:val="en-GB" w:eastAsia="en-GB" w:bidi="ar-SA"/>
        </w:rPr>
        <w:t>)</w:t>
      </w:r>
      <w:r>
        <w:rPr>
          <w:lang w:val="en-GB" w:eastAsia="en-GB" w:bidi="ar-SA"/>
        </w:rPr>
        <w:t xml:space="preserve">, was that the current structure of the default investment arrangement remains to be suitable for the membership, given the flexibility that it offers the Trustee to update the underlying asset mix without need for member communications. Once the Trustee confirms whether </w:t>
      </w:r>
      <w:r w:rsidR="00777824">
        <w:rPr>
          <w:lang w:val="en-GB" w:eastAsia="en-GB" w:bidi="ar-SA"/>
        </w:rPr>
        <w:t>it</w:t>
      </w:r>
      <w:r>
        <w:rPr>
          <w:lang w:val="en-GB" w:eastAsia="en-GB" w:bidi="ar-SA"/>
        </w:rPr>
        <w:t xml:space="preserve"> wish</w:t>
      </w:r>
      <w:r w:rsidR="00777824">
        <w:rPr>
          <w:lang w:val="en-GB" w:eastAsia="en-GB" w:bidi="ar-SA"/>
        </w:rPr>
        <w:t>es</w:t>
      </w:r>
      <w:r>
        <w:rPr>
          <w:lang w:val="en-GB" w:eastAsia="en-GB" w:bidi="ar-SA"/>
        </w:rPr>
        <w:t xml:space="preserve"> to implement the recommendations provided by Barnett Waddingham</w:t>
      </w:r>
      <w:r w:rsidR="00777824">
        <w:rPr>
          <w:lang w:val="en-GB" w:eastAsia="en-GB" w:bidi="ar-SA"/>
        </w:rPr>
        <w:t xml:space="preserve"> regarding the </w:t>
      </w:r>
      <w:r w:rsidR="00683AF1">
        <w:rPr>
          <w:lang w:val="en-GB" w:eastAsia="en-GB" w:bidi="ar-SA"/>
        </w:rPr>
        <w:t>d</w:t>
      </w:r>
      <w:r w:rsidR="00777824">
        <w:rPr>
          <w:lang w:val="en-GB" w:eastAsia="en-GB" w:bidi="ar-SA"/>
        </w:rPr>
        <w:t xml:space="preserve">efault </w:t>
      </w:r>
      <w:r w:rsidR="00683AF1">
        <w:rPr>
          <w:lang w:val="en-GB" w:eastAsia="en-GB" w:bidi="ar-SA"/>
        </w:rPr>
        <w:t xml:space="preserve">investment arrangement’s </w:t>
      </w:r>
      <w:r w:rsidR="00777824">
        <w:rPr>
          <w:lang w:val="en-GB" w:eastAsia="en-GB" w:bidi="ar-SA"/>
        </w:rPr>
        <w:t>underlying funds</w:t>
      </w:r>
      <w:r>
        <w:rPr>
          <w:lang w:val="en-GB" w:eastAsia="en-GB" w:bidi="ar-SA"/>
        </w:rPr>
        <w:t>, the focus would shift to then consider whether further advice relating to self-select/special interest fund options is required</w:t>
      </w:r>
      <w:r>
        <w:rPr>
          <w:rFonts w:cs="Segoe UI"/>
          <w:color w:val="000000"/>
          <w:lang w:val="en-GB" w:bidi="ar-SA"/>
        </w:rPr>
        <w:t xml:space="preserve">. </w:t>
      </w:r>
      <w:r w:rsidR="00777824">
        <w:rPr>
          <w:rFonts w:cs="Segoe UI"/>
          <w:color w:val="000000"/>
          <w:lang w:val="en-GB" w:bidi="ar-SA"/>
        </w:rPr>
        <w:t xml:space="preserve"> </w:t>
      </w:r>
      <w:r>
        <w:rPr>
          <w:rFonts w:cs="Segoe UI"/>
          <w:color w:val="000000"/>
          <w:lang w:val="en-GB" w:bidi="ar-SA"/>
        </w:rPr>
        <w:t>In ensuring that a</w:t>
      </w:r>
      <w:r w:rsidR="001F4851" w:rsidRPr="00910696">
        <w:rPr>
          <w:rFonts w:cs="Segoe UI"/>
          <w:color w:val="000000"/>
          <w:lang w:val="en-GB" w:bidi="ar-SA"/>
        </w:rPr>
        <w:t xml:space="preserve"> suitable range </w:t>
      </w:r>
      <w:r w:rsidR="00EA1E70" w:rsidRPr="00910696">
        <w:rPr>
          <w:rFonts w:cs="Segoe UI"/>
          <w:color w:val="000000"/>
          <w:lang w:val="en-GB" w:bidi="ar-SA"/>
        </w:rPr>
        <w:t xml:space="preserve">of funds </w:t>
      </w:r>
      <w:r>
        <w:rPr>
          <w:rFonts w:cs="Segoe UI"/>
          <w:color w:val="000000"/>
          <w:lang w:val="en-GB" w:bidi="ar-SA"/>
        </w:rPr>
        <w:t>is available, t</w:t>
      </w:r>
      <w:r w:rsidR="00EA1E70" w:rsidRPr="00910696">
        <w:rPr>
          <w:rFonts w:cs="Segoe UI"/>
          <w:color w:val="000000"/>
          <w:lang w:val="en-GB" w:bidi="ar-SA"/>
        </w:rPr>
        <w:t xml:space="preserve">his </w:t>
      </w:r>
      <w:r w:rsidRPr="00910696">
        <w:rPr>
          <w:rFonts w:cs="Segoe UI"/>
          <w:color w:val="000000"/>
          <w:lang w:val="en-GB" w:bidi="ar-SA"/>
        </w:rPr>
        <w:t>w</w:t>
      </w:r>
      <w:r>
        <w:rPr>
          <w:rFonts w:cs="Segoe UI"/>
          <w:color w:val="000000"/>
          <w:lang w:val="en-GB" w:bidi="ar-SA"/>
        </w:rPr>
        <w:t>ould</w:t>
      </w:r>
      <w:r w:rsidRPr="00910696">
        <w:rPr>
          <w:rFonts w:cs="Segoe UI"/>
          <w:color w:val="000000"/>
          <w:lang w:val="en-GB" w:bidi="ar-SA"/>
        </w:rPr>
        <w:t xml:space="preserve"> </w:t>
      </w:r>
      <w:r w:rsidR="00EA1E70" w:rsidRPr="00910696">
        <w:rPr>
          <w:rFonts w:cs="Segoe UI"/>
          <w:color w:val="000000"/>
          <w:lang w:val="en-GB" w:bidi="ar-SA"/>
        </w:rPr>
        <w:t>better align the Trustee</w:t>
      </w:r>
      <w:r>
        <w:rPr>
          <w:rFonts w:cs="Segoe UI"/>
          <w:color w:val="000000"/>
          <w:lang w:val="en-GB" w:bidi="ar-SA"/>
        </w:rPr>
        <w:t>’</w:t>
      </w:r>
      <w:r w:rsidR="00EA1E70" w:rsidRPr="00910696">
        <w:rPr>
          <w:rFonts w:cs="Segoe UI"/>
          <w:color w:val="000000"/>
          <w:lang w:val="en-GB" w:bidi="ar-SA"/>
        </w:rPr>
        <w:t>s beliefs on ESG with</w:t>
      </w:r>
      <w:r>
        <w:rPr>
          <w:rFonts w:cs="Segoe UI"/>
          <w:color w:val="000000"/>
          <w:lang w:val="en-GB" w:bidi="ar-SA"/>
        </w:rPr>
        <w:t>in</w:t>
      </w:r>
      <w:r w:rsidR="00EA1E70" w:rsidRPr="00910696">
        <w:rPr>
          <w:rFonts w:cs="Segoe UI"/>
          <w:color w:val="000000"/>
          <w:lang w:val="en-GB" w:bidi="ar-SA"/>
        </w:rPr>
        <w:t xml:space="preserve"> the </w:t>
      </w:r>
      <w:r>
        <w:rPr>
          <w:rFonts w:cs="Segoe UI"/>
          <w:color w:val="000000"/>
          <w:lang w:val="en-GB" w:bidi="ar-SA"/>
        </w:rPr>
        <w:t xml:space="preserve">current </w:t>
      </w:r>
      <w:r w:rsidR="00EA1E70" w:rsidRPr="00910696">
        <w:rPr>
          <w:rFonts w:cs="Segoe UI"/>
          <w:color w:val="000000"/>
          <w:lang w:val="en-GB" w:bidi="ar-SA"/>
        </w:rPr>
        <w:t xml:space="preserve">investment </w:t>
      </w:r>
      <w:r w:rsidR="00683AF1" w:rsidRPr="00910696">
        <w:rPr>
          <w:rFonts w:cs="Segoe UI"/>
          <w:color w:val="000000"/>
          <w:lang w:val="en-GB" w:bidi="ar-SA"/>
        </w:rPr>
        <w:t>strategy</w:t>
      </w:r>
      <w:r w:rsidR="00683AF1">
        <w:rPr>
          <w:rFonts w:cs="Segoe UI"/>
          <w:color w:val="000000"/>
          <w:lang w:val="en-GB" w:bidi="ar-SA"/>
        </w:rPr>
        <w:t>.</w:t>
      </w:r>
    </w:p>
    <w:p w14:paraId="2FB9C78F" w14:textId="77777777" w:rsidR="00F57CA9" w:rsidRDefault="00F57CA9" w:rsidP="00F57CA9">
      <w:pPr>
        <w:spacing w:before="120" w:after="120" w:line="264" w:lineRule="auto"/>
        <w:jc w:val="both"/>
        <w:outlineLvl w:val="1"/>
        <w:rPr>
          <w:lang w:val="en-GB" w:eastAsia="en-GB" w:bidi="ar-SA"/>
        </w:rPr>
      </w:pPr>
    </w:p>
    <w:p w14:paraId="0787772E" w14:textId="77777777" w:rsidR="00F57CA9" w:rsidRPr="00F57CA9" w:rsidRDefault="00F57CA9" w:rsidP="00F57CA9">
      <w:pPr>
        <w:spacing w:before="120" w:after="120" w:line="264" w:lineRule="auto"/>
        <w:jc w:val="both"/>
        <w:outlineLvl w:val="1"/>
        <w:rPr>
          <w:lang w:val="en-GB" w:eastAsia="en-GB" w:bidi="ar-SA"/>
        </w:rPr>
      </w:pPr>
    </w:p>
    <w:p w14:paraId="14081FE1" w14:textId="36C33FD7" w:rsidR="00270E13" w:rsidRDefault="00270E13" w:rsidP="00142844">
      <w:pPr>
        <w:pStyle w:val="Heading2"/>
        <w:rPr>
          <w:lang w:eastAsia="en-GB" w:bidi="ar-SA"/>
        </w:rPr>
      </w:pPr>
      <w:r>
        <w:rPr>
          <w:lang w:eastAsia="en-GB" w:bidi="ar-SA"/>
        </w:rPr>
        <w:lastRenderedPageBreak/>
        <w:t>AVCs</w:t>
      </w:r>
    </w:p>
    <w:p w14:paraId="65A63F48" w14:textId="0127E7F2" w:rsidR="005E47AA" w:rsidRPr="008C37C7" w:rsidRDefault="005E47AA" w:rsidP="006B4574">
      <w:pPr>
        <w:pStyle w:val="ListParagraph"/>
        <w:numPr>
          <w:ilvl w:val="1"/>
          <w:numId w:val="12"/>
        </w:numPr>
        <w:spacing w:before="120" w:after="120" w:line="264" w:lineRule="auto"/>
        <w:jc w:val="both"/>
        <w:rPr>
          <w:lang w:val="en-GB" w:eastAsia="en-GB" w:bidi="ar-SA"/>
        </w:rPr>
      </w:pPr>
      <w:r w:rsidRPr="008C37C7">
        <w:rPr>
          <w:rFonts w:cs="Segoe UI"/>
        </w:rPr>
        <w:t xml:space="preserve">In relation to AVCs, the member-borne charges and </w:t>
      </w:r>
      <w:r w:rsidRPr="008C37C7">
        <w:rPr>
          <w:lang w:val="en-GB" w:eastAsia="en-GB" w:bidi="ar-SA"/>
        </w:rPr>
        <w:t xml:space="preserve">transaction </w:t>
      </w:r>
      <w:r w:rsidRPr="008C37C7">
        <w:rPr>
          <w:rFonts w:cs="Segoe UI"/>
        </w:rPr>
        <w:t>costs relate to:</w:t>
      </w:r>
    </w:p>
    <w:p w14:paraId="07FEEC8B" w14:textId="073FDA0F" w:rsidR="005E47AA" w:rsidRPr="008C37C7" w:rsidRDefault="005E47AA" w:rsidP="00910696">
      <w:pPr>
        <w:pStyle w:val="ListParagraph"/>
        <w:numPr>
          <w:ilvl w:val="2"/>
          <w:numId w:val="12"/>
        </w:numPr>
        <w:spacing w:before="120" w:after="0" w:line="264" w:lineRule="auto"/>
        <w:ind w:left="1287"/>
        <w:jc w:val="both"/>
        <w:outlineLvl w:val="1"/>
        <w:rPr>
          <w:lang w:val="en-GB" w:eastAsia="en-GB" w:bidi="ar-SA"/>
        </w:rPr>
      </w:pPr>
      <w:r w:rsidRPr="008C37C7">
        <w:rPr>
          <w:rFonts w:cs="Segoe UI"/>
        </w:rPr>
        <w:t xml:space="preserve">investment </w:t>
      </w:r>
      <w:r w:rsidRPr="008C37C7">
        <w:rPr>
          <w:rFonts w:cs="Segoe UI"/>
          <w:color w:val="000000" w:themeColor="text1"/>
        </w:rPr>
        <w:t>services</w:t>
      </w:r>
    </w:p>
    <w:p w14:paraId="59C53848" w14:textId="34B3439F" w:rsidR="005E47AA" w:rsidRPr="008C37C7" w:rsidRDefault="005E47AA" w:rsidP="00910696">
      <w:pPr>
        <w:pStyle w:val="ListParagraph"/>
        <w:numPr>
          <w:ilvl w:val="2"/>
          <w:numId w:val="12"/>
        </w:numPr>
        <w:spacing w:before="120" w:after="0" w:line="264" w:lineRule="auto"/>
        <w:ind w:left="1287"/>
        <w:jc w:val="both"/>
        <w:outlineLvl w:val="1"/>
        <w:rPr>
          <w:lang w:val="en-GB" w:eastAsia="en-GB" w:bidi="ar-SA"/>
        </w:rPr>
      </w:pPr>
      <w:r w:rsidRPr="008C37C7">
        <w:rPr>
          <w:lang w:val="en-GB" w:eastAsia="en-GB" w:bidi="ar-SA"/>
        </w:rPr>
        <w:t>administration services</w:t>
      </w:r>
    </w:p>
    <w:p w14:paraId="7E0D0D4D" w14:textId="50930612" w:rsidR="005E47AA" w:rsidRPr="008C37C7" w:rsidRDefault="005E47AA" w:rsidP="00910696">
      <w:pPr>
        <w:pStyle w:val="ListParagraph"/>
        <w:numPr>
          <w:ilvl w:val="2"/>
          <w:numId w:val="12"/>
        </w:numPr>
        <w:spacing w:before="120" w:after="0" w:line="264" w:lineRule="auto"/>
        <w:ind w:left="1287"/>
        <w:jc w:val="both"/>
        <w:outlineLvl w:val="1"/>
        <w:rPr>
          <w:lang w:val="en-GB" w:eastAsia="en-GB" w:bidi="ar-SA"/>
        </w:rPr>
      </w:pPr>
      <w:r w:rsidRPr="008C37C7">
        <w:rPr>
          <w:lang w:val="en-GB" w:eastAsia="en-GB" w:bidi="ar-SA"/>
        </w:rPr>
        <w:t>communication services</w:t>
      </w:r>
    </w:p>
    <w:p w14:paraId="06470F78" w14:textId="4A9C1642" w:rsidR="005E47AA" w:rsidRPr="008C37C7" w:rsidRDefault="005E47AA" w:rsidP="00910696">
      <w:pPr>
        <w:pStyle w:val="ListParagraph"/>
        <w:numPr>
          <w:ilvl w:val="1"/>
          <w:numId w:val="12"/>
        </w:numPr>
        <w:spacing w:before="120" w:after="120" w:line="264" w:lineRule="auto"/>
        <w:ind w:left="567" w:hanging="567"/>
        <w:jc w:val="both"/>
        <w:outlineLvl w:val="1"/>
        <w:rPr>
          <w:rFonts w:cs="Segoe UI"/>
          <w:lang w:val="en-GB" w:eastAsia="en-GB" w:bidi="ar-SA"/>
        </w:rPr>
      </w:pPr>
      <w:r w:rsidRPr="008C37C7">
        <w:rPr>
          <w:lang w:val="en-GB" w:eastAsia="en-GB" w:bidi="ar-SA"/>
        </w:rPr>
        <w:t>The assessment considered the broad value for members of these services, taking a proportionate approach that reflects the relatively low value of the AVC pension savings concerned.</w:t>
      </w:r>
    </w:p>
    <w:p w14:paraId="1B0A3021" w14:textId="5EDA4664" w:rsidR="00724F1E" w:rsidRPr="00910696" w:rsidRDefault="0066791E" w:rsidP="00910696">
      <w:pPr>
        <w:pStyle w:val="ListParagraph"/>
        <w:numPr>
          <w:ilvl w:val="1"/>
          <w:numId w:val="12"/>
        </w:numPr>
        <w:spacing w:before="120" w:after="120" w:line="264" w:lineRule="auto"/>
        <w:ind w:left="567" w:hanging="567"/>
        <w:jc w:val="both"/>
        <w:outlineLvl w:val="1"/>
        <w:rPr>
          <w:lang w:val="en-GB" w:eastAsia="en-GB" w:bidi="ar-SA"/>
        </w:rPr>
      </w:pPr>
      <w:r w:rsidRPr="008C37C7">
        <w:rPr>
          <w:lang w:val="en-GB" w:eastAsia="en-GB" w:bidi="ar-SA"/>
        </w:rPr>
        <w:t xml:space="preserve">The </w:t>
      </w:r>
      <w:r w:rsidR="00303F25" w:rsidRPr="008C37C7">
        <w:rPr>
          <w:lang w:val="en-GB" w:eastAsia="en-GB" w:bidi="ar-SA"/>
        </w:rPr>
        <w:t xml:space="preserve">Trustee </w:t>
      </w:r>
      <w:r w:rsidRPr="008C37C7">
        <w:rPr>
          <w:lang w:val="en-GB" w:eastAsia="en-GB" w:bidi="ar-SA"/>
        </w:rPr>
        <w:t>concluded</w:t>
      </w:r>
      <w:r w:rsidR="0089776B" w:rsidRPr="008C37C7">
        <w:rPr>
          <w:lang w:val="en-GB" w:eastAsia="en-GB" w:bidi="ar-SA"/>
        </w:rPr>
        <w:t xml:space="preserve"> that t</w:t>
      </w:r>
      <w:r w:rsidR="00E14C4A" w:rsidRPr="008C37C7">
        <w:rPr>
          <w:lang w:val="en-GB" w:eastAsia="en-GB" w:bidi="ar-SA"/>
        </w:rPr>
        <w:t xml:space="preserve">he </w:t>
      </w:r>
      <w:r w:rsidR="005E47AA" w:rsidRPr="008C37C7">
        <w:rPr>
          <w:lang w:val="en-GB" w:eastAsia="en-GB" w:bidi="ar-SA"/>
        </w:rPr>
        <w:t xml:space="preserve">AVC arrangement </w:t>
      </w:r>
      <w:r w:rsidR="00724F1E" w:rsidRPr="008C37C7">
        <w:rPr>
          <w:lang w:val="en-GB" w:eastAsia="en-GB" w:bidi="ar-SA"/>
        </w:rPr>
        <w:t xml:space="preserve">offers </w:t>
      </w:r>
      <w:r w:rsidR="00667DC1" w:rsidRPr="00FE2F16">
        <w:rPr>
          <w:b/>
          <w:bCs/>
          <w:lang w:val="en-GB" w:eastAsia="en-GB" w:bidi="ar-SA"/>
        </w:rPr>
        <w:t>good</w:t>
      </w:r>
      <w:r w:rsidR="00667DC1">
        <w:rPr>
          <w:lang w:val="en-GB" w:eastAsia="en-GB" w:bidi="ar-SA"/>
        </w:rPr>
        <w:t xml:space="preserve"> </w:t>
      </w:r>
      <w:r w:rsidR="00E14C4A" w:rsidRPr="00FE2F16">
        <w:rPr>
          <w:b/>
          <w:bCs/>
          <w:lang w:val="en-GB" w:eastAsia="en-GB" w:bidi="ar-SA"/>
        </w:rPr>
        <w:t>value</w:t>
      </w:r>
      <w:r w:rsidR="00E14C4A" w:rsidRPr="008C37C7">
        <w:rPr>
          <w:lang w:val="en-GB" w:eastAsia="en-GB" w:bidi="ar-SA"/>
        </w:rPr>
        <w:t xml:space="preserve"> </w:t>
      </w:r>
      <w:r w:rsidR="00AB6BBD" w:rsidRPr="008C37C7">
        <w:rPr>
          <w:lang w:val="en-GB" w:eastAsia="en-GB" w:bidi="ar-SA"/>
        </w:rPr>
        <w:t xml:space="preserve">in relation to the </w:t>
      </w:r>
      <w:r w:rsidR="0089776B" w:rsidRPr="008C37C7">
        <w:rPr>
          <w:lang w:val="en-GB" w:eastAsia="en-GB" w:bidi="ar-SA"/>
        </w:rPr>
        <w:t xml:space="preserve">charges and transaction costs borne by </w:t>
      </w:r>
      <w:r w:rsidR="0089776B" w:rsidRPr="00910696">
        <w:rPr>
          <w:lang w:val="en-GB" w:eastAsia="en-GB" w:bidi="ar-SA"/>
        </w:rPr>
        <w:t>members</w:t>
      </w:r>
      <w:r w:rsidR="0033737B" w:rsidRPr="00910696">
        <w:rPr>
          <w:lang w:val="en-GB" w:eastAsia="en-GB" w:bidi="ar-SA"/>
        </w:rPr>
        <w:t>.</w:t>
      </w:r>
      <w:r w:rsidR="007F655D" w:rsidRPr="00910696">
        <w:rPr>
          <w:lang w:val="en-GB" w:eastAsia="en-GB" w:bidi="ar-SA"/>
        </w:rPr>
        <w:t xml:space="preserve">  </w:t>
      </w:r>
    </w:p>
    <w:p w14:paraId="2127E3C8" w14:textId="51572B1F" w:rsidR="00303F25" w:rsidRPr="00910696" w:rsidRDefault="00303F25" w:rsidP="00910696">
      <w:pPr>
        <w:pStyle w:val="ListParagraph"/>
        <w:numPr>
          <w:ilvl w:val="1"/>
          <w:numId w:val="12"/>
        </w:numPr>
        <w:spacing w:before="120" w:after="120" w:line="264" w:lineRule="auto"/>
        <w:ind w:left="567" w:hanging="567"/>
        <w:jc w:val="both"/>
        <w:outlineLvl w:val="1"/>
        <w:rPr>
          <w:lang w:val="en-GB" w:eastAsia="en-GB" w:bidi="ar-SA"/>
        </w:rPr>
      </w:pPr>
      <w:r w:rsidRPr="00910696">
        <w:rPr>
          <w:lang w:val="en-GB" w:eastAsia="en-GB" w:bidi="ar-SA"/>
        </w:rPr>
        <w:t>In reaching this conclusion, the Trustee recognised:</w:t>
      </w:r>
    </w:p>
    <w:p w14:paraId="4682CC39" w14:textId="6B8BC181" w:rsidR="00406548" w:rsidRPr="008C37C7" w:rsidRDefault="00406548" w:rsidP="00910696">
      <w:pPr>
        <w:pStyle w:val="ListParagraph"/>
        <w:numPr>
          <w:ilvl w:val="2"/>
          <w:numId w:val="12"/>
        </w:numPr>
        <w:spacing w:before="120" w:after="0" w:line="264" w:lineRule="auto"/>
        <w:ind w:left="1287"/>
        <w:jc w:val="both"/>
        <w:outlineLvl w:val="1"/>
        <w:rPr>
          <w:rFonts w:cs="Segoe UI"/>
          <w:lang w:val="en-GB" w:eastAsia="en-GB" w:bidi="ar-SA"/>
        </w:rPr>
      </w:pPr>
      <w:r w:rsidRPr="008C37C7">
        <w:rPr>
          <w:rFonts w:cs="Segoe UI"/>
          <w:lang w:val="en-GB" w:eastAsia="en-GB" w:bidi="ar-SA"/>
        </w:rPr>
        <w:t>the range of investment options is limited and does not provide automatic protection over the years approaching retirement age</w:t>
      </w:r>
      <w:r w:rsidR="00B855F2" w:rsidRPr="008C37C7">
        <w:rPr>
          <w:rFonts w:cs="Segoe UI"/>
          <w:lang w:val="en-GB" w:eastAsia="en-GB" w:bidi="ar-SA"/>
        </w:rPr>
        <w:t xml:space="preserve"> via a lifestyle </w:t>
      </w:r>
      <w:proofErr w:type="gramStart"/>
      <w:r w:rsidR="00B855F2" w:rsidRPr="008C37C7">
        <w:rPr>
          <w:rFonts w:cs="Segoe UI"/>
          <w:lang w:val="en-GB" w:eastAsia="en-GB" w:bidi="ar-SA"/>
        </w:rPr>
        <w:t>strategy</w:t>
      </w:r>
      <w:proofErr w:type="gramEnd"/>
    </w:p>
    <w:p w14:paraId="08EE6A39" w14:textId="6037FF61" w:rsidR="005D00DB" w:rsidRPr="008C37C7" w:rsidRDefault="00EA1E70" w:rsidP="00910696">
      <w:pPr>
        <w:pStyle w:val="ListParagraph"/>
        <w:numPr>
          <w:ilvl w:val="2"/>
          <w:numId w:val="12"/>
        </w:numPr>
        <w:spacing w:before="120" w:after="0" w:line="264" w:lineRule="auto"/>
        <w:ind w:left="1287"/>
        <w:jc w:val="both"/>
        <w:outlineLvl w:val="1"/>
        <w:rPr>
          <w:rFonts w:cs="Segoe UI"/>
          <w:lang w:val="en-GB" w:eastAsia="en-GB" w:bidi="ar-SA"/>
        </w:rPr>
      </w:pPr>
      <w:r w:rsidRPr="00910696">
        <w:rPr>
          <w:rFonts w:cs="Segoe UI"/>
          <w:lang w:val="en-GB" w:eastAsia="en-GB" w:bidi="ar-SA"/>
        </w:rPr>
        <w:t xml:space="preserve">Prudential and Clerical Medical </w:t>
      </w:r>
      <w:r w:rsidR="00406548" w:rsidRPr="00910696">
        <w:rPr>
          <w:rFonts w:cs="Segoe UI"/>
          <w:lang w:val="en-GB" w:eastAsia="en-GB" w:bidi="ar-SA"/>
        </w:rPr>
        <w:t xml:space="preserve">provides </w:t>
      </w:r>
      <w:r w:rsidR="00B855F2" w:rsidRPr="00910696">
        <w:rPr>
          <w:rFonts w:cs="Segoe UI"/>
          <w:lang w:val="en-GB" w:eastAsia="en-GB" w:bidi="ar-SA"/>
        </w:rPr>
        <w:t xml:space="preserve">basic administration </w:t>
      </w:r>
      <w:proofErr w:type="gramStart"/>
      <w:r w:rsidR="00B855F2" w:rsidRPr="008C37C7">
        <w:rPr>
          <w:rFonts w:cs="Segoe UI"/>
          <w:lang w:val="en-GB" w:eastAsia="en-GB" w:bidi="ar-SA"/>
        </w:rPr>
        <w:t>services</w:t>
      </w:r>
      <w:proofErr w:type="gramEnd"/>
    </w:p>
    <w:p w14:paraId="6A8F0817" w14:textId="25DC9547" w:rsidR="00B855F2" w:rsidRPr="008C37C7" w:rsidRDefault="00B855F2" w:rsidP="00910696">
      <w:pPr>
        <w:pStyle w:val="ListParagraph"/>
        <w:numPr>
          <w:ilvl w:val="2"/>
          <w:numId w:val="12"/>
        </w:numPr>
        <w:spacing w:before="120" w:after="0" w:line="264" w:lineRule="auto"/>
        <w:ind w:left="1287"/>
        <w:jc w:val="both"/>
        <w:outlineLvl w:val="1"/>
        <w:rPr>
          <w:rFonts w:cs="Segoe UI"/>
          <w:lang w:val="en-GB" w:eastAsia="en-GB" w:bidi="ar-SA"/>
        </w:rPr>
      </w:pPr>
      <w:r w:rsidRPr="00910696">
        <w:rPr>
          <w:rFonts w:cs="Segoe UI"/>
          <w:lang w:val="en-GB" w:eastAsia="en-GB" w:bidi="ar-SA"/>
        </w:rPr>
        <w:t xml:space="preserve">communication services are </w:t>
      </w:r>
      <w:r w:rsidR="00C807C3">
        <w:rPr>
          <w:rFonts w:cs="Segoe UI"/>
          <w:lang w:val="en-GB" w:eastAsia="en-GB" w:bidi="ar-SA"/>
        </w:rPr>
        <w:t xml:space="preserve">limited </w:t>
      </w:r>
      <w:r w:rsidRPr="00910696">
        <w:rPr>
          <w:rFonts w:cs="Segoe UI"/>
          <w:lang w:val="en-GB" w:eastAsia="en-GB" w:bidi="ar-SA"/>
        </w:rPr>
        <w:t xml:space="preserve">and there is </w:t>
      </w:r>
      <w:r w:rsidRPr="008C37C7">
        <w:rPr>
          <w:rFonts w:cs="Segoe UI"/>
          <w:lang w:val="en-GB" w:eastAsia="en-GB" w:bidi="ar-SA"/>
        </w:rPr>
        <w:t xml:space="preserve">no online member </w:t>
      </w:r>
      <w:proofErr w:type="gramStart"/>
      <w:r w:rsidRPr="008C37C7">
        <w:rPr>
          <w:rFonts w:cs="Segoe UI"/>
          <w:lang w:val="en-GB" w:eastAsia="en-GB" w:bidi="ar-SA"/>
        </w:rPr>
        <w:t>access</w:t>
      </w:r>
      <w:proofErr w:type="gramEnd"/>
    </w:p>
    <w:p w14:paraId="5078DE15" w14:textId="1B232095" w:rsidR="00F9069B" w:rsidRPr="00910696" w:rsidRDefault="00B855F2" w:rsidP="00910696">
      <w:pPr>
        <w:pStyle w:val="ListParagraph"/>
        <w:numPr>
          <w:ilvl w:val="1"/>
          <w:numId w:val="12"/>
        </w:numPr>
        <w:spacing w:before="120" w:after="120" w:line="264" w:lineRule="auto"/>
        <w:ind w:left="567" w:hanging="567"/>
        <w:jc w:val="both"/>
        <w:outlineLvl w:val="1"/>
        <w:rPr>
          <w:lang w:val="en-GB" w:eastAsia="en-GB" w:bidi="ar-SA"/>
        </w:rPr>
      </w:pPr>
      <w:r w:rsidRPr="008C37C7">
        <w:rPr>
          <w:lang w:val="en-GB" w:eastAsia="en-GB" w:bidi="ar-SA"/>
        </w:rPr>
        <w:t>the costs are broadly in line with AVC arrangements of a similar size and closed nature and there is likely to be limited opportunity for the Trustee to change the service provider</w:t>
      </w:r>
      <w:r w:rsidR="00C807C3">
        <w:rPr>
          <w:lang w:val="en-GB" w:eastAsia="en-GB" w:bidi="ar-SA"/>
        </w:rPr>
        <w:t xml:space="preserve"> or obtain improved terms.</w:t>
      </w:r>
    </w:p>
    <w:p w14:paraId="5078DE1F" w14:textId="4A54A249" w:rsidR="00AB20B9" w:rsidRPr="005D46F7" w:rsidRDefault="008C37C7" w:rsidP="008C37C7">
      <w:pPr>
        <w:pStyle w:val="Heading1"/>
        <w:numPr>
          <w:ilvl w:val="0"/>
          <w:numId w:val="0"/>
        </w:numPr>
        <w:ind w:left="360" w:hanging="360"/>
      </w:pPr>
      <w:r>
        <w:t xml:space="preserve">7 </w:t>
      </w:r>
      <w:r w:rsidR="00AB20B9" w:rsidRPr="005D46F7">
        <w:t>Trustee knowledge and understanding</w:t>
      </w:r>
    </w:p>
    <w:p w14:paraId="3F29A23C" w14:textId="6B96FC8A" w:rsidR="00AD7E17" w:rsidRDefault="00AD7E17" w:rsidP="00847A5D">
      <w:pPr>
        <w:pStyle w:val="Heading2"/>
        <w:rPr>
          <w:lang w:eastAsia="en-GB"/>
        </w:rPr>
      </w:pPr>
      <w:r>
        <w:rPr>
          <w:lang w:eastAsia="en-GB"/>
        </w:rPr>
        <w:t>The Trustee Board</w:t>
      </w:r>
    </w:p>
    <w:p w14:paraId="3AC1EA95" w14:textId="40EE05D0" w:rsidR="007A1321" w:rsidRPr="008C37C7" w:rsidRDefault="00AC77C8" w:rsidP="00B31D32">
      <w:pPr>
        <w:pStyle w:val="ListParagraph"/>
        <w:numPr>
          <w:ilvl w:val="1"/>
          <w:numId w:val="13"/>
        </w:numPr>
        <w:spacing w:before="120" w:after="120" w:line="264" w:lineRule="auto"/>
        <w:ind w:left="567" w:hanging="567"/>
        <w:jc w:val="both"/>
        <w:outlineLvl w:val="1"/>
        <w:rPr>
          <w:lang w:val="en-GB" w:eastAsia="en-GB" w:bidi="ar-SA"/>
        </w:rPr>
      </w:pPr>
      <w:r w:rsidRPr="008C37C7">
        <w:rPr>
          <w:lang w:val="en-GB" w:eastAsia="en-GB" w:bidi="ar-SA"/>
        </w:rPr>
        <w:t xml:space="preserve">The </w:t>
      </w:r>
      <w:r w:rsidR="007E1AB7" w:rsidRPr="008C37C7">
        <w:rPr>
          <w:lang w:val="en-GB" w:eastAsia="en-GB" w:bidi="ar-SA"/>
        </w:rPr>
        <w:t xml:space="preserve">Trustee </w:t>
      </w:r>
      <w:r w:rsidR="00B37858" w:rsidRPr="008C37C7">
        <w:rPr>
          <w:lang w:val="en-GB" w:eastAsia="en-GB" w:bidi="ar-SA"/>
        </w:rPr>
        <w:t xml:space="preserve">Board </w:t>
      </w:r>
      <w:r w:rsidR="00696A26" w:rsidRPr="008C37C7">
        <w:rPr>
          <w:lang w:val="en-GB" w:eastAsia="en-GB" w:bidi="ar-SA"/>
        </w:rPr>
        <w:t>comprise</w:t>
      </w:r>
      <w:r w:rsidR="00B37858" w:rsidRPr="008C37C7">
        <w:rPr>
          <w:lang w:val="en-GB" w:eastAsia="en-GB" w:bidi="ar-SA"/>
        </w:rPr>
        <w:t>s</w:t>
      </w:r>
      <w:r w:rsidR="00696A26" w:rsidRPr="008C37C7">
        <w:rPr>
          <w:lang w:val="en-GB" w:eastAsia="en-GB" w:bidi="ar-SA"/>
        </w:rPr>
        <w:t xml:space="preserve"> </w:t>
      </w:r>
      <w:r w:rsidR="00280D1A" w:rsidRPr="008C37C7">
        <w:rPr>
          <w:lang w:val="en-GB" w:eastAsia="en-GB" w:bidi="ar-SA"/>
        </w:rPr>
        <w:t>nine</w:t>
      </w:r>
      <w:r w:rsidR="00696A26" w:rsidRPr="008C37C7">
        <w:rPr>
          <w:lang w:val="en-GB" w:eastAsia="en-GB" w:bidi="ar-SA"/>
        </w:rPr>
        <w:t xml:space="preserve"> </w:t>
      </w:r>
      <w:r w:rsidR="00D05A5B" w:rsidRPr="008C37C7">
        <w:rPr>
          <w:lang w:val="en-GB" w:eastAsia="en-GB" w:bidi="ar-SA"/>
        </w:rPr>
        <w:t>trustee directors</w:t>
      </w:r>
      <w:r w:rsidR="007A1321" w:rsidRPr="008C37C7">
        <w:rPr>
          <w:lang w:val="en-GB" w:eastAsia="en-GB" w:bidi="ar-SA"/>
        </w:rPr>
        <w:t xml:space="preserve">, two of whom are nominated by </w:t>
      </w:r>
      <w:r w:rsidR="001F41AC">
        <w:rPr>
          <w:lang w:val="en-GB" w:eastAsia="en-GB" w:bidi="ar-SA"/>
        </w:rPr>
        <w:t>S</w:t>
      </w:r>
      <w:r w:rsidR="00777824">
        <w:rPr>
          <w:lang w:val="en-GB" w:eastAsia="en-GB" w:bidi="ar-SA"/>
        </w:rPr>
        <w:t>cheme</w:t>
      </w:r>
      <w:r w:rsidR="007A1321" w:rsidRPr="008C37C7">
        <w:rPr>
          <w:lang w:val="en-GB" w:eastAsia="en-GB" w:bidi="ar-SA"/>
        </w:rPr>
        <w:t xml:space="preserve"> members and three of whom are appointed by the Company.</w:t>
      </w:r>
    </w:p>
    <w:p w14:paraId="5078DE20" w14:textId="46F427B1" w:rsidR="007E1AB7" w:rsidRPr="008C37C7" w:rsidRDefault="007A1321" w:rsidP="00B31D32">
      <w:pPr>
        <w:pStyle w:val="ListParagraph"/>
        <w:numPr>
          <w:ilvl w:val="1"/>
          <w:numId w:val="13"/>
        </w:numPr>
        <w:spacing w:before="120" w:after="120" w:line="264" w:lineRule="auto"/>
        <w:ind w:left="567" w:hanging="567"/>
        <w:jc w:val="both"/>
        <w:outlineLvl w:val="1"/>
        <w:rPr>
          <w:rFonts w:cs="Segoe UI"/>
          <w:lang w:val="en-GB" w:eastAsia="en-GB" w:bidi="ar-SA"/>
        </w:rPr>
      </w:pPr>
      <w:r w:rsidRPr="008C37C7">
        <w:rPr>
          <w:rFonts w:cs="Segoe UI"/>
          <w:lang w:val="en-GB" w:eastAsia="en-GB" w:bidi="ar-SA"/>
        </w:rPr>
        <w:t>O</w:t>
      </w:r>
      <w:r w:rsidR="00F923DA" w:rsidRPr="008C37C7">
        <w:rPr>
          <w:rFonts w:cs="Segoe UI"/>
          <w:lang w:val="en-GB" w:eastAsia="en-GB" w:bidi="ar-SA"/>
        </w:rPr>
        <w:t xml:space="preserve">ne </w:t>
      </w:r>
      <w:r w:rsidRPr="008C37C7">
        <w:rPr>
          <w:rFonts w:cs="Segoe UI"/>
          <w:lang w:val="en-GB" w:eastAsia="en-GB" w:bidi="ar-SA"/>
        </w:rPr>
        <w:t>of the Company appointed trustee</w:t>
      </w:r>
      <w:r w:rsidR="00D05A5B" w:rsidRPr="008C37C7">
        <w:rPr>
          <w:rFonts w:cs="Segoe UI"/>
          <w:lang w:val="en-GB" w:eastAsia="en-GB" w:bidi="ar-SA"/>
        </w:rPr>
        <w:t xml:space="preserve"> director</w:t>
      </w:r>
      <w:r w:rsidRPr="008C37C7">
        <w:rPr>
          <w:rFonts w:cs="Segoe UI"/>
          <w:lang w:val="en-GB" w:eastAsia="en-GB" w:bidi="ar-SA"/>
        </w:rPr>
        <w:t>s</w:t>
      </w:r>
      <w:r w:rsidR="00B37858" w:rsidRPr="008C37C7">
        <w:rPr>
          <w:rFonts w:cs="Segoe UI"/>
          <w:lang w:val="en-GB" w:eastAsia="en-GB" w:bidi="ar-SA"/>
        </w:rPr>
        <w:t xml:space="preserve">, </w:t>
      </w:r>
      <w:r w:rsidR="00280D1A" w:rsidRPr="008C37C7">
        <w:rPr>
          <w:rFonts w:cs="Segoe UI"/>
          <w:lang w:val="en-GB" w:eastAsia="en-GB" w:bidi="ar-SA"/>
        </w:rPr>
        <w:t>Michael</w:t>
      </w:r>
      <w:r w:rsidR="001E7145" w:rsidRPr="008C37C7">
        <w:rPr>
          <w:rFonts w:cs="Segoe UI"/>
          <w:lang w:val="en-GB" w:eastAsia="en-GB" w:bidi="ar-SA"/>
        </w:rPr>
        <w:t xml:space="preserve"> Roberts</w:t>
      </w:r>
      <w:r w:rsidR="00B37858" w:rsidRPr="008C37C7">
        <w:rPr>
          <w:rFonts w:cs="Segoe UI"/>
          <w:lang w:val="en-GB" w:eastAsia="en-GB" w:bidi="ar-SA"/>
        </w:rPr>
        <w:t>,</w:t>
      </w:r>
      <w:r w:rsidRPr="008C37C7">
        <w:rPr>
          <w:rFonts w:cs="Segoe UI"/>
          <w:lang w:val="en-GB" w:eastAsia="en-GB" w:bidi="ar-SA"/>
        </w:rPr>
        <w:t xml:space="preserve"> </w:t>
      </w:r>
      <w:r w:rsidR="007E1AB7" w:rsidRPr="008C37C7">
        <w:rPr>
          <w:rFonts w:cs="Segoe UI"/>
          <w:lang w:val="en-GB" w:eastAsia="en-GB" w:bidi="ar-SA"/>
        </w:rPr>
        <w:t xml:space="preserve">is </w:t>
      </w:r>
      <w:r w:rsidR="00B37858" w:rsidRPr="008C37C7">
        <w:rPr>
          <w:rFonts w:cs="Segoe UI"/>
          <w:lang w:val="en-GB" w:eastAsia="en-GB" w:bidi="ar-SA"/>
        </w:rPr>
        <w:t xml:space="preserve">the </w:t>
      </w:r>
      <w:r w:rsidR="00A03BED" w:rsidRPr="008C37C7">
        <w:rPr>
          <w:rFonts w:cs="Segoe UI"/>
          <w:lang w:val="en-GB" w:eastAsia="en-GB" w:bidi="ar-SA"/>
        </w:rPr>
        <w:t>c</w:t>
      </w:r>
      <w:r w:rsidR="00B37858" w:rsidRPr="008C37C7">
        <w:rPr>
          <w:rFonts w:cs="Segoe UI"/>
          <w:lang w:val="en-GB" w:eastAsia="en-GB" w:bidi="ar-SA"/>
        </w:rPr>
        <w:t xml:space="preserve">hair and is </w:t>
      </w:r>
      <w:r w:rsidR="007E1AB7" w:rsidRPr="008C37C7">
        <w:rPr>
          <w:rFonts w:cs="Segoe UI"/>
          <w:lang w:val="en-GB" w:eastAsia="en-GB" w:bidi="ar-SA"/>
        </w:rPr>
        <w:t>a professional trustee</w:t>
      </w:r>
      <w:r w:rsidR="00A03BED" w:rsidRPr="008C37C7">
        <w:rPr>
          <w:rFonts w:cs="Segoe UI"/>
          <w:lang w:val="en-GB" w:eastAsia="en-GB" w:bidi="ar-SA"/>
        </w:rPr>
        <w:t xml:space="preserve">.  </w:t>
      </w:r>
    </w:p>
    <w:p w14:paraId="18E9D7D7" w14:textId="18C5F8A3" w:rsidR="00AD7E17" w:rsidRDefault="00AD7E17" w:rsidP="00847A5D">
      <w:pPr>
        <w:pStyle w:val="Heading2"/>
        <w:rPr>
          <w:lang w:eastAsia="en-GB"/>
        </w:rPr>
      </w:pPr>
      <w:r>
        <w:rPr>
          <w:lang w:eastAsia="en-GB"/>
        </w:rPr>
        <w:t xml:space="preserve">Trustee knowledge and understanding </w:t>
      </w:r>
      <w:proofErr w:type="gramStart"/>
      <w:r>
        <w:rPr>
          <w:lang w:eastAsia="en-GB"/>
        </w:rPr>
        <w:t>requirements</w:t>
      </w:r>
      <w:proofErr w:type="gramEnd"/>
    </w:p>
    <w:p w14:paraId="2BBB5FD3" w14:textId="1E0CC129" w:rsidR="002537E4" w:rsidRPr="008C37C7" w:rsidRDefault="002537E4" w:rsidP="006B4574">
      <w:pPr>
        <w:pStyle w:val="ListParagraph"/>
        <w:numPr>
          <w:ilvl w:val="1"/>
          <w:numId w:val="13"/>
        </w:numPr>
        <w:spacing w:before="120" w:after="120" w:line="264" w:lineRule="auto"/>
        <w:ind w:left="567" w:hanging="567"/>
        <w:jc w:val="both"/>
        <w:rPr>
          <w:lang w:val="en-GB" w:eastAsia="en-GB" w:bidi="ar-SA"/>
        </w:rPr>
      </w:pPr>
      <w:r w:rsidRPr="008C37C7">
        <w:rPr>
          <w:rFonts w:cs="Segoe UI"/>
        </w:rPr>
        <w:t>T</w:t>
      </w:r>
      <w:r w:rsidR="00D05A5B" w:rsidRPr="008C37C7">
        <w:rPr>
          <w:rFonts w:cs="Segoe UI"/>
        </w:rPr>
        <w:t xml:space="preserve">rustees are </w:t>
      </w:r>
      <w:r w:rsidRPr="008C37C7">
        <w:rPr>
          <w:rFonts w:cs="Segoe UI"/>
        </w:rPr>
        <w:t xml:space="preserve">required to </w:t>
      </w:r>
      <w:r>
        <w:rPr>
          <w:lang w:bidi="ar-SA"/>
        </w:rPr>
        <w:t xml:space="preserve">be conversant with </w:t>
      </w:r>
      <w:r w:rsidR="00B205BD">
        <w:rPr>
          <w:lang w:bidi="ar-SA"/>
        </w:rPr>
        <w:t xml:space="preserve">a scheme’s </w:t>
      </w:r>
      <w:r>
        <w:rPr>
          <w:lang w:bidi="ar-SA"/>
        </w:rPr>
        <w:t xml:space="preserve">main </w:t>
      </w:r>
      <w:r w:rsidR="00D1631F">
        <w:rPr>
          <w:lang w:bidi="ar-SA"/>
        </w:rPr>
        <w:t>documents and</w:t>
      </w:r>
      <w:r>
        <w:rPr>
          <w:lang w:bidi="ar-SA"/>
        </w:rPr>
        <w:t xml:space="preserve"> have appropriate knowledge and understanding of the law relating to pensions and trusts, the funding of occupational schemes and investment of scheme assets</w:t>
      </w:r>
      <w:r w:rsidRPr="008C37C7">
        <w:rPr>
          <w:rFonts w:cs="Segoe UI"/>
        </w:rPr>
        <w:t xml:space="preserve">. </w:t>
      </w:r>
    </w:p>
    <w:p w14:paraId="59225711" w14:textId="3ACACFEF" w:rsidR="00F4793C" w:rsidRPr="00847A5D" w:rsidRDefault="00F4793C" w:rsidP="00142844">
      <w:pPr>
        <w:pStyle w:val="Heading2"/>
        <w:rPr>
          <w:lang w:eastAsia="en-GB"/>
        </w:rPr>
      </w:pPr>
      <w:r>
        <w:rPr>
          <w:lang w:eastAsia="en-GB"/>
        </w:rPr>
        <w:t>Approach</w:t>
      </w:r>
    </w:p>
    <w:p w14:paraId="3AD414DC" w14:textId="48179B12" w:rsidR="000F4851" w:rsidRPr="008C37C7" w:rsidRDefault="000F4851" w:rsidP="00910696">
      <w:pPr>
        <w:pStyle w:val="ListParagraph"/>
        <w:numPr>
          <w:ilvl w:val="1"/>
          <w:numId w:val="13"/>
        </w:numPr>
        <w:spacing w:before="120" w:after="120" w:line="264" w:lineRule="auto"/>
        <w:ind w:left="567" w:hanging="567"/>
        <w:contextualSpacing w:val="0"/>
        <w:jc w:val="both"/>
        <w:outlineLvl w:val="1"/>
        <w:rPr>
          <w:lang w:val="en-GB" w:eastAsia="en-GB" w:bidi="ar-SA"/>
        </w:rPr>
      </w:pPr>
      <w:r w:rsidRPr="008C37C7">
        <w:rPr>
          <w:lang w:val="en-GB" w:eastAsia="en-GB" w:bidi="ar-SA"/>
        </w:rPr>
        <w:t xml:space="preserve">The </w:t>
      </w:r>
      <w:r w:rsidR="008C283C">
        <w:rPr>
          <w:lang w:val="en-GB" w:eastAsia="en-GB" w:bidi="ar-SA"/>
        </w:rPr>
        <w:t>Trustee</w:t>
      </w:r>
      <w:r w:rsidRPr="008C37C7">
        <w:rPr>
          <w:lang w:val="en-GB" w:eastAsia="en-GB" w:bidi="ar-SA"/>
        </w:rPr>
        <w:t xml:space="preserve"> </w:t>
      </w:r>
      <w:r w:rsidR="00594E21" w:rsidRPr="008C37C7">
        <w:rPr>
          <w:lang w:val="en-GB" w:eastAsia="en-GB" w:bidi="ar-SA"/>
        </w:rPr>
        <w:t xml:space="preserve">aim </w:t>
      </w:r>
      <w:r w:rsidR="00F4793C" w:rsidRPr="008C37C7">
        <w:rPr>
          <w:lang w:val="en-GB" w:eastAsia="en-GB" w:bidi="ar-SA"/>
        </w:rPr>
        <w:t>to remain</w:t>
      </w:r>
      <w:r w:rsidRPr="008C37C7">
        <w:rPr>
          <w:lang w:val="en-GB" w:eastAsia="en-GB" w:bidi="ar-SA"/>
        </w:rPr>
        <w:t xml:space="preserve"> conversant with the Scheme’s trust deed and rules as well as all other Scheme document</w:t>
      </w:r>
      <w:r w:rsidR="00560510" w:rsidRPr="008C37C7">
        <w:rPr>
          <w:lang w:val="en-GB" w:eastAsia="en-GB" w:bidi="ar-SA"/>
        </w:rPr>
        <w:t>s</w:t>
      </w:r>
      <w:r w:rsidRPr="008C37C7">
        <w:rPr>
          <w:lang w:val="en-GB" w:eastAsia="en-GB" w:bidi="ar-SA"/>
        </w:rPr>
        <w:t xml:space="preserve"> </w:t>
      </w:r>
      <w:r w:rsidR="00B876FE" w:rsidRPr="008C37C7">
        <w:rPr>
          <w:lang w:val="en-GB" w:eastAsia="en-GB" w:bidi="ar-SA"/>
        </w:rPr>
        <w:t xml:space="preserve">such as the </w:t>
      </w:r>
      <w:r w:rsidR="00D332D6" w:rsidRPr="008C37C7">
        <w:rPr>
          <w:lang w:val="en-GB" w:eastAsia="en-GB" w:bidi="ar-SA"/>
        </w:rPr>
        <w:t xml:space="preserve">statement </w:t>
      </w:r>
      <w:r w:rsidR="00B876FE" w:rsidRPr="008C37C7">
        <w:rPr>
          <w:lang w:val="en-GB" w:eastAsia="en-GB" w:bidi="ar-SA"/>
        </w:rPr>
        <w:t xml:space="preserve">of </w:t>
      </w:r>
      <w:r w:rsidR="0055045C" w:rsidRPr="008C37C7">
        <w:rPr>
          <w:lang w:val="en-GB" w:eastAsia="en-GB" w:bidi="ar-SA"/>
        </w:rPr>
        <w:t>investment principles</w:t>
      </w:r>
      <w:r w:rsidR="00B876FE" w:rsidRPr="008C37C7">
        <w:rPr>
          <w:lang w:val="en-GB" w:eastAsia="en-GB" w:bidi="ar-SA"/>
        </w:rPr>
        <w:t xml:space="preserve">, the risk register and current policies, </w:t>
      </w:r>
      <w:proofErr w:type="gramStart"/>
      <w:r w:rsidR="00B876FE" w:rsidRPr="008C37C7">
        <w:rPr>
          <w:lang w:val="en-GB" w:eastAsia="en-GB" w:bidi="ar-SA"/>
        </w:rPr>
        <w:t>e.g.</w:t>
      </w:r>
      <w:proofErr w:type="gramEnd"/>
      <w:r w:rsidR="00B876FE" w:rsidRPr="008C37C7">
        <w:rPr>
          <w:lang w:val="en-GB" w:eastAsia="en-GB" w:bidi="ar-SA"/>
        </w:rPr>
        <w:t xml:space="preserve"> conflicts of interest.  They do so</w:t>
      </w:r>
      <w:r w:rsidRPr="008C37C7">
        <w:rPr>
          <w:lang w:val="en-GB" w:eastAsia="en-GB" w:bidi="ar-SA"/>
        </w:rPr>
        <w:t xml:space="preserve"> through their experience in </w:t>
      </w:r>
      <w:r w:rsidR="00560510" w:rsidRPr="008C37C7">
        <w:rPr>
          <w:lang w:val="en-GB" w:eastAsia="en-GB" w:bidi="ar-SA"/>
        </w:rPr>
        <w:t xml:space="preserve">governing </w:t>
      </w:r>
      <w:r w:rsidRPr="008C37C7">
        <w:rPr>
          <w:lang w:val="en-GB" w:eastAsia="en-GB" w:bidi="ar-SA"/>
        </w:rPr>
        <w:t>the Scheme</w:t>
      </w:r>
      <w:r w:rsidR="00E40454" w:rsidRPr="008C37C7">
        <w:rPr>
          <w:lang w:val="en-GB" w:eastAsia="en-GB" w:bidi="ar-SA"/>
        </w:rPr>
        <w:t>,</w:t>
      </w:r>
      <w:r w:rsidRPr="008C37C7">
        <w:rPr>
          <w:lang w:val="en-GB" w:eastAsia="en-GB" w:bidi="ar-SA"/>
        </w:rPr>
        <w:t xml:space="preserve"> as well as </w:t>
      </w:r>
      <w:r w:rsidR="00560510" w:rsidRPr="008C37C7">
        <w:rPr>
          <w:lang w:val="en-GB" w:eastAsia="en-GB" w:bidi="ar-SA"/>
        </w:rPr>
        <w:t xml:space="preserve">specific </w:t>
      </w:r>
      <w:r w:rsidRPr="008C37C7">
        <w:rPr>
          <w:lang w:val="en-GB" w:eastAsia="en-GB" w:bidi="ar-SA"/>
        </w:rPr>
        <w:t xml:space="preserve">activities over the </w:t>
      </w:r>
      <w:r w:rsidR="00561F25">
        <w:rPr>
          <w:lang w:val="en-GB" w:eastAsia="en-GB" w:bidi="ar-SA"/>
        </w:rPr>
        <w:t>S</w:t>
      </w:r>
      <w:r w:rsidRPr="008C37C7">
        <w:rPr>
          <w:lang w:val="en-GB" w:eastAsia="en-GB" w:bidi="ar-SA"/>
        </w:rPr>
        <w:t>cheme year</w:t>
      </w:r>
      <w:r w:rsidR="00E40454" w:rsidRPr="008C37C7">
        <w:rPr>
          <w:lang w:val="en-GB" w:eastAsia="en-GB" w:bidi="ar-SA"/>
        </w:rPr>
        <w:t xml:space="preserve"> and access to professional advice</w:t>
      </w:r>
      <w:r w:rsidRPr="008C37C7">
        <w:rPr>
          <w:lang w:val="en-GB" w:eastAsia="en-GB" w:bidi="ar-SA"/>
        </w:rPr>
        <w:t xml:space="preserve">.  </w:t>
      </w:r>
    </w:p>
    <w:p w14:paraId="5887D0DC" w14:textId="6BC115D9" w:rsidR="00280D1A" w:rsidRPr="008C37C7" w:rsidRDefault="00280D1A" w:rsidP="00910696">
      <w:pPr>
        <w:pStyle w:val="ListParagraph"/>
        <w:numPr>
          <w:ilvl w:val="1"/>
          <w:numId w:val="13"/>
        </w:numPr>
        <w:spacing w:before="120" w:after="120" w:line="264" w:lineRule="auto"/>
        <w:ind w:left="567" w:hanging="567"/>
        <w:contextualSpacing w:val="0"/>
        <w:jc w:val="both"/>
        <w:outlineLvl w:val="1"/>
        <w:rPr>
          <w:lang w:val="en-GB" w:eastAsia="en-GB" w:bidi="ar-SA"/>
        </w:rPr>
      </w:pPr>
      <w:r w:rsidRPr="008C37C7">
        <w:rPr>
          <w:lang w:val="en-GB" w:eastAsia="en-GB" w:bidi="ar-SA"/>
        </w:rPr>
        <w:t xml:space="preserve">If there </w:t>
      </w:r>
      <w:r w:rsidR="00D1631F" w:rsidRPr="008C37C7">
        <w:rPr>
          <w:lang w:val="en-GB" w:eastAsia="en-GB" w:bidi="ar-SA"/>
        </w:rPr>
        <w:t>are</w:t>
      </w:r>
      <w:r w:rsidRPr="008C37C7">
        <w:rPr>
          <w:lang w:val="en-GB" w:eastAsia="en-GB" w:bidi="ar-SA"/>
        </w:rPr>
        <w:t xml:space="preserve"> any ambiguities over the interpretation of the Trust Deed and Rules, the Trustee seeks legal advice from the Scheme’s legal advisor.</w:t>
      </w:r>
    </w:p>
    <w:p w14:paraId="76DA636C" w14:textId="48FED985" w:rsidR="00560510" w:rsidRPr="008C37C7" w:rsidRDefault="00560510" w:rsidP="00910696">
      <w:pPr>
        <w:pStyle w:val="ListParagraph"/>
        <w:numPr>
          <w:ilvl w:val="1"/>
          <w:numId w:val="13"/>
        </w:numPr>
        <w:spacing w:before="120" w:after="120" w:line="264" w:lineRule="auto"/>
        <w:ind w:left="567" w:hanging="567"/>
        <w:contextualSpacing w:val="0"/>
        <w:jc w:val="both"/>
        <w:outlineLvl w:val="1"/>
        <w:rPr>
          <w:lang w:val="en-GB" w:eastAsia="en-GB" w:bidi="ar-SA"/>
        </w:rPr>
      </w:pPr>
      <w:r w:rsidRPr="008C37C7">
        <w:rPr>
          <w:lang w:val="en-GB" w:eastAsia="en-GB" w:bidi="ar-SA"/>
        </w:rPr>
        <w:t xml:space="preserve">The </w:t>
      </w:r>
      <w:r w:rsidR="008C283C">
        <w:rPr>
          <w:lang w:val="en-GB" w:eastAsia="en-GB" w:bidi="ar-SA"/>
        </w:rPr>
        <w:t>Trustee</w:t>
      </w:r>
      <w:r w:rsidRPr="008C37C7">
        <w:rPr>
          <w:lang w:val="en-GB" w:eastAsia="en-GB" w:bidi="ar-SA"/>
        </w:rPr>
        <w:t xml:space="preserve"> </w:t>
      </w:r>
      <w:r w:rsidR="00594E21" w:rsidRPr="008C37C7">
        <w:rPr>
          <w:lang w:val="en-GB" w:eastAsia="en-GB" w:bidi="ar-SA"/>
        </w:rPr>
        <w:t>aim</w:t>
      </w:r>
      <w:r w:rsidR="008C283C">
        <w:rPr>
          <w:lang w:val="en-GB" w:eastAsia="en-GB" w:bidi="ar-SA"/>
        </w:rPr>
        <w:t>s</w:t>
      </w:r>
      <w:r w:rsidR="00594E21" w:rsidRPr="008C37C7">
        <w:rPr>
          <w:lang w:val="en-GB" w:eastAsia="en-GB" w:bidi="ar-SA"/>
        </w:rPr>
        <w:t xml:space="preserve"> to </w:t>
      </w:r>
      <w:r w:rsidR="00712111" w:rsidRPr="008C37C7">
        <w:rPr>
          <w:lang w:val="en-GB" w:eastAsia="en-GB" w:bidi="ar-SA"/>
        </w:rPr>
        <w:t xml:space="preserve">achieve and maintain </w:t>
      </w:r>
      <w:r w:rsidRPr="00910696">
        <w:rPr>
          <w:lang w:val="en-GB" w:eastAsia="en-GB" w:bidi="ar-SA"/>
        </w:rPr>
        <w:t>knowledge and understanding of the law relating to pensions and trusts, the funding of occupational schemes and investment of scheme assets</w:t>
      </w:r>
      <w:r w:rsidR="00712111" w:rsidRPr="00910696">
        <w:rPr>
          <w:lang w:val="en-GB" w:eastAsia="en-GB" w:bidi="ar-SA"/>
        </w:rPr>
        <w:t xml:space="preserve"> through a combination</w:t>
      </w:r>
      <w:r w:rsidR="00594E21" w:rsidRPr="00910696">
        <w:rPr>
          <w:lang w:val="en-GB" w:eastAsia="en-GB" w:bidi="ar-SA"/>
        </w:rPr>
        <w:t xml:space="preserve"> of training, taking professional advice and the inclusion of a professional trustee as a trustee director and </w:t>
      </w:r>
      <w:r w:rsidR="007F1934" w:rsidRPr="00910696">
        <w:rPr>
          <w:lang w:val="en-GB" w:eastAsia="en-GB" w:bidi="ar-SA"/>
        </w:rPr>
        <w:t>c</w:t>
      </w:r>
      <w:r w:rsidR="00594E21" w:rsidRPr="00910696">
        <w:rPr>
          <w:lang w:val="en-GB" w:eastAsia="en-GB" w:bidi="ar-SA"/>
        </w:rPr>
        <w:t>hair.</w:t>
      </w:r>
      <w:r w:rsidR="00280D1A" w:rsidRPr="00910696">
        <w:rPr>
          <w:lang w:val="en-GB" w:eastAsia="en-GB" w:bidi="ar-SA"/>
        </w:rPr>
        <w:t xml:space="preserve"> The Trustee has sufficient knowledge of investments to be able to challenge </w:t>
      </w:r>
      <w:r w:rsidR="00F57CA9">
        <w:rPr>
          <w:lang w:val="en-GB" w:eastAsia="en-GB" w:bidi="ar-SA"/>
        </w:rPr>
        <w:t xml:space="preserve">its </w:t>
      </w:r>
      <w:r w:rsidR="00280D1A" w:rsidRPr="00910696">
        <w:rPr>
          <w:lang w:val="en-GB" w:eastAsia="en-GB" w:bidi="ar-SA"/>
        </w:rPr>
        <w:t>advisors.</w:t>
      </w:r>
    </w:p>
    <w:p w14:paraId="00E114A4" w14:textId="1916AF9F" w:rsidR="00594E21" w:rsidRPr="008C37C7" w:rsidRDefault="00594E21" w:rsidP="00910696">
      <w:pPr>
        <w:pStyle w:val="ListParagraph"/>
        <w:numPr>
          <w:ilvl w:val="1"/>
          <w:numId w:val="13"/>
        </w:numPr>
        <w:spacing w:before="120" w:after="120" w:line="264" w:lineRule="auto"/>
        <w:ind w:left="567" w:hanging="567"/>
        <w:contextualSpacing w:val="0"/>
        <w:jc w:val="both"/>
        <w:outlineLvl w:val="1"/>
        <w:rPr>
          <w:lang w:val="en-GB" w:eastAsia="en-GB" w:bidi="ar-SA"/>
        </w:rPr>
      </w:pPr>
      <w:r w:rsidRPr="008C37C7">
        <w:rPr>
          <w:lang w:val="en-GB" w:eastAsia="en-GB" w:bidi="ar-SA"/>
        </w:rPr>
        <w:t xml:space="preserve">There is a structured training programme in place that includes annual self-assessment by the trustee directors to identify knowledge gaps and training needs in relation to emerging legislation, Scheme changes and upcoming matters in the Scheme’s business plan.  </w:t>
      </w:r>
      <w:r w:rsidR="007F1934" w:rsidRPr="008C37C7">
        <w:rPr>
          <w:lang w:val="en-GB" w:eastAsia="en-GB" w:bidi="ar-SA"/>
        </w:rPr>
        <w:t xml:space="preserve">The training programme also includes completion of the Pensions Regulator’s trustee toolkit.  </w:t>
      </w:r>
      <w:r w:rsidRPr="008C37C7">
        <w:rPr>
          <w:lang w:val="en-GB" w:eastAsia="en-GB" w:bidi="ar-SA"/>
        </w:rPr>
        <w:t xml:space="preserve">A training log is maintained in relation to training undertaken and is reviewed at each </w:t>
      </w:r>
      <w:r w:rsidR="007F1934" w:rsidRPr="008C37C7">
        <w:rPr>
          <w:lang w:val="en-GB" w:eastAsia="en-GB" w:bidi="ar-SA"/>
        </w:rPr>
        <w:t>t</w:t>
      </w:r>
      <w:r w:rsidRPr="008C37C7">
        <w:rPr>
          <w:lang w:val="en-GB" w:eastAsia="en-GB" w:bidi="ar-SA"/>
        </w:rPr>
        <w:t xml:space="preserve">rustee meeting.  </w:t>
      </w:r>
    </w:p>
    <w:p w14:paraId="55E19312" w14:textId="42567F1F" w:rsidR="00594E21" w:rsidRPr="008C37C7" w:rsidRDefault="00594E21" w:rsidP="00910696">
      <w:pPr>
        <w:pStyle w:val="ListParagraph"/>
        <w:numPr>
          <w:ilvl w:val="1"/>
          <w:numId w:val="13"/>
        </w:numPr>
        <w:spacing w:before="120" w:after="120" w:line="264" w:lineRule="auto"/>
        <w:ind w:left="567" w:hanging="567"/>
        <w:contextualSpacing w:val="0"/>
        <w:jc w:val="both"/>
        <w:outlineLvl w:val="1"/>
        <w:rPr>
          <w:lang w:val="en-GB" w:eastAsia="en-GB" w:bidi="ar-SA"/>
        </w:rPr>
      </w:pPr>
      <w:r w:rsidRPr="008C37C7">
        <w:rPr>
          <w:lang w:val="en-GB" w:eastAsia="en-GB" w:bidi="ar-SA"/>
        </w:rPr>
        <w:t xml:space="preserve">The structured training programme is supplemented with training activities such as attending seminars and </w:t>
      </w:r>
      <w:r w:rsidR="00F57CA9" w:rsidRPr="008C37C7">
        <w:rPr>
          <w:lang w:val="en-GB" w:eastAsia="en-GB" w:bidi="ar-SA"/>
        </w:rPr>
        <w:t>conferences and</w:t>
      </w:r>
      <w:r w:rsidRPr="008C37C7">
        <w:rPr>
          <w:lang w:val="en-GB" w:eastAsia="en-GB" w:bidi="ar-SA"/>
        </w:rPr>
        <w:t xml:space="preserve"> reading pensions-related articles.  </w:t>
      </w:r>
    </w:p>
    <w:p w14:paraId="7A6309F6" w14:textId="1A57993D" w:rsidR="008C37C7" w:rsidRPr="008C37C7" w:rsidRDefault="00594E21" w:rsidP="00910696">
      <w:pPr>
        <w:pStyle w:val="ListParagraph"/>
        <w:numPr>
          <w:ilvl w:val="1"/>
          <w:numId w:val="13"/>
        </w:numPr>
        <w:spacing w:before="120" w:after="120" w:line="264" w:lineRule="auto"/>
        <w:ind w:left="567" w:hanging="567"/>
        <w:contextualSpacing w:val="0"/>
        <w:jc w:val="both"/>
        <w:outlineLvl w:val="1"/>
        <w:rPr>
          <w:lang w:val="en-GB" w:eastAsia="en-GB" w:bidi="ar-SA"/>
        </w:rPr>
      </w:pPr>
      <w:r w:rsidRPr="00910696">
        <w:rPr>
          <w:lang w:val="en-GB" w:eastAsia="en-GB" w:bidi="ar-SA"/>
        </w:rPr>
        <w:lastRenderedPageBreak/>
        <w:t xml:space="preserve">An induction process is in place for newly appointed </w:t>
      </w:r>
      <w:r w:rsidRPr="008C37C7">
        <w:rPr>
          <w:lang w:val="en-GB" w:eastAsia="en-GB" w:bidi="ar-SA"/>
        </w:rPr>
        <w:t>trustee directors</w:t>
      </w:r>
      <w:r w:rsidR="00280D1A" w:rsidRPr="008C37C7">
        <w:rPr>
          <w:lang w:val="en-GB" w:eastAsia="en-GB" w:bidi="ar-SA"/>
        </w:rPr>
        <w:t xml:space="preserve">. Upon appointment, a </w:t>
      </w:r>
      <w:r w:rsidR="008C283C">
        <w:rPr>
          <w:lang w:val="en-GB" w:eastAsia="en-GB" w:bidi="ar-SA"/>
        </w:rPr>
        <w:t>t</w:t>
      </w:r>
      <w:r w:rsidR="00280D1A" w:rsidRPr="008C37C7">
        <w:rPr>
          <w:lang w:val="en-GB" w:eastAsia="en-GB" w:bidi="ar-SA"/>
        </w:rPr>
        <w:t xml:space="preserve">rustee </w:t>
      </w:r>
      <w:r w:rsidR="008C283C">
        <w:rPr>
          <w:lang w:val="en-GB" w:eastAsia="en-GB" w:bidi="ar-SA"/>
        </w:rPr>
        <w:t>d</w:t>
      </w:r>
      <w:r w:rsidR="00280D1A" w:rsidRPr="008C37C7">
        <w:rPr>
          <w:lang w:val="en-GB" w:eastAsia="en-GB" w:bidi="ar-SA"/>
        </w:rPr>
        <w:t xml:space="preserve">irector is required to undertake completion of the Pensions Regulator’s online </w:t>
      </w:r>
      <w:r w:rsidR="00A9744C" w:rsidRPr="008C37C7">
        <w:rPr>
          <w:lang w:val="en-GB" w:eastAsia="en-GB" w:bidi="ar-SA"/>
        </w:rPr>
        <w:t xml:space="preserve">training program. The Trustee </w:t>
      </w:r>
      <w:r w:rsidR="008C283C">
        <w:rPr>
          <w:lang w:val="en-GB" w:eastAsia="en-GB" w:bidi="ar-SA"/>
        </w:rPr>
        <w:t>T</w:t>
      </w:r>
      <w:r w:rsidR="00A9744C" w:rsidRPr="008C37C7">
        <w:rPr>
          <w:lang w:val="en-GB" w:eastAsia="en-GB" w:bidi="ar-SA"/>
        </w:rPr>
        <w:t xml:space="preserve">oolkit is expected to be completed within six months of appointment. </w:t>
      </w:r>
      <w:r w:rsidRPr="00910696">
        <w:rPr>
          <w:lang w:val="en-GB" w:eastAsia="en-GB" w:bidi="ar-SA"/>
        </w:rPr>
        <w:t xml:space="preserve"> </w:t>
      </w:r>
    </w:p>
    <w:p w14:paraId="109893CF" w14:textId="29CD9EC5" w:rsidR="007F1934" w:rsidRPr="008C37C7" w:rsidRDefault="007F1934" w:rsidP="00910696">
      <w:pPr>
        <w:pStyle w:val="ListParagraph"/>
        <w:numPr>
          <w:ilvl w:val="1"/>
          <w:numId w:val="13"/>
        </w:numPr>
        <w:spacing w:before="120" w:after="120" w:line="264" w:lineRule="auto"/>
        <w:ind w:left="567" w:hanging="567"/>
        <w:contextualSpacing w:val="0"/>
        <w:jc w:val="both"/>
        <w:outlineLvl w:val="1"/>
        <w:rPr>
          <w:lang w:val="en-GB" w:eastAsia="en-GB" w:bidi="ar-SA"/>
        </w:rPr>
      </w:pPr>
      <w:r w:rsidRPr="00910696">
        <w:rPr>
          <w:lang w:val="en-GB" w:eastAsia="en-GB" w:bidi="ar-SA"/>
        </w:rPr>
        <w:t xml:space="preserve">The </w:t>
      </w:r>
      <w:r w:rsidR="00F57CA9">
        <w:rPr>
          <w:lang w:val="en-GB" w:eastAsia="en-GB" w:bidi="ar-SA"/>
        </w:rPr>
        <w:t xml:space="preserve">Trustee </w:t>
      </w:r>
      <w:r w:rsidR="00F57CA9" w:rsidRPr="00910696">
        <w:rPr>
          <w:lang w:val="en-GB" w:eastAsia="en-GB" w:bidi="ar-SA"/>
        </w:rPr>
        <w:t>consults</w:t>
      </w:r>
      <w:r w:rsidRPr="00910696">
        <w:rPr>
          <w:lang w:val="en-GB" w:eastAsia="en-GB" w:bidi="ar-SA"/>
        </w:rPr>
        <w:t xml:space="preserve"> with professional advisers as and when required, for example on consultancy, </w:t>
      </w:r>
      <w:proofErr w:type="gramStart"/>
      <w:r w:rsidRPr="00910696">
        <w:rPr>
          <w:lang w:val="en-GB" w:eastAsia="en-GB" w:bidi="ar-SA"/>
        </w:rPr>
        <w:t>investment</w:t>
      </w:r>
      <w:proofErr w:type="gramEnd"/>
      <w:r w:rsidRPr="00910696">
        <w:rPr>
          <w:lang w:val="en-GB" w:eastAsia="en-GB" w:bidi="ar-SA"/>
        </w:rPr>
        <w:t xml:space="preserve"> and legal matters.  The professional </w:t>
      </w:r>
      <w:r w:rsidRPr="008C37C7">
        <w:rPr>
          <w:lang w:val="en-GB" w:eastAsia="en-GB" w:bidi="ar-SA"/>
        </w:rPr>
        <w:t xml:space="preserve">advisers are engaged to pro-actively alert the </w:t>
      </w:r>
      <w:r w:rsidR="008C283C">
        <w:rPr>
          <w:lang w:val="en-GB" w:eastAsia="en-GB" w:bidi="ar-SA"/>
        </w:rPr>
        <w:t>Trustee o</w:t>
      </w:r>
      <w:r w:rsidRPr="008C37C7">
        <w:rPr>
          <w:lang w:val="en-GB" w:eastAsia="en-GB" w:bidi="ar-SA"/>
        </w:rPr>
        <w:t>n relevant changes to pension and trust law.</w:t>
      </w:r>
      <w:r w:rsidR="00E40454" w:rsidRPr="008C37C7">
        <w:rPr>
          <w:lang w:val="en-GB" w:eastAsia="en-GB" w:bidi="ar-SA"/>
        </w:rPr>
        <w:t xml:space="preserve">  </w:t>
      </w:r>
      <w:r w:rsidRPr="008C37C7">
        <w:rPr>
          <w:lang w:val="en-GB" w:eastAsia="en-GB" w:bidi="ar-SA"/>
        </w:rPr>
        <w:t xml:space="preserve">Professional advisers </w:t>
      </w:r>
      <w:r w:rsidR="00AB3672" w:rsidRPr="008C37C7">
        <w:rPr>
          <w:lang w:val="en-GB" w:eastAsia="en-GB" w:bidi="ar-SA"/>
        </w:rPr>
        <w:t xml:space="preserve">also </w:t>
      </w:r>
      <w:r w:rsidRPr="008C37C7">
        <w:rPr>
          <w:lang w:val="en-GB" w:eastAsia="en-GB" w:bidi="ar-SA"/>
        </w:rPr>
        <w:t>provide support in relation to understanding and reviewing the Scheme’s documents, attend</w:t>
      </w:r>
      <w:r w:rsidR="00E40454" w:rsidRPr="008C37C7">
        <w:rPr>
          <w:lang w:val="en-GB" w:eastAsia="en-GB" w:bidi="ar-SA"/>
        </w:rPr>
        <w:t>ing</w:t>
      </w:r>
      <w:r w:rsidRPr="008C37C7">
        <w:rPr>
          <w:lang w:val="en-GB" w:eastAsia="en-GB" w:bidi="ar-SA"/>
        </w:rPr>
        <w:t xml:space="preserve"> trustee meetings and often in the delivery of training at these meetings.</w:t>
      </w:r>
    </w:p>
    <w:p w14:paraId="1C0EE1E2" w14:textId="77777777" w:rsidR="008C37C7" w:rsidRDefault="00F4793C" w:rsidP="008C37C7">
      <w:pPr>
        <w:pStyle w:val="Heading2"/>
        <w:rPr>
          <w:lang w:eastAsia="en-GB"/>
        </w:rPr>
      </w:pPr>
      <w:r>
        <w:rPr>
          <w:lang w:eastAsia="en-GB"/>
        </w:rPr>
        <w:t>Activities over the scheme year</w:t>
      </w:r>
    </w:p>
    <w:p w14:paraId="2BAF5B66" w14:textId="445B43A1" w:rsidR="00B55116" w:rsidRPr="00B55116" w:rsidRDefault="00B55116" w:rsidP="00B55116">
      <w:pPr>
        <w:pStyle w:val="Heading2"/>
        <w:numPr>
          <w:ilvl w:val="1"/>
          <w:numId w:val="13"/>
        </w:numPr>
        <w:spacing w:before="120" w:line="264" w:lineRule="auto"/>
        <w:ind w:left="567" w:hanging="567"/>
        <w:jc w:val="both"/>
        <w:rPr>
          <w:rFonts w:eastAsiaTheme="minorHAnsi"/>
          <w:bCs w:val="0"/>
          <w:iCs w:val="0"/>
          <w:color w:val="auto"/>
          <w:sz w:val="20"/>
          <w:szCs w:val="20"/>
          <w:lang w:eastAsia="en-GB" w:bidi="ar-SA"/>
        </w:rPr>
      </w:pPr>
      <w:r w:rsidRPr="00FE2F16">
        <w:rPr>
          <w:rFonts w:eastAsiaTheme="minorHAnsi"/>
          <w:bCs w:val="0"/>
          <w:iCs w:val="0"/>
          <w:color w:val="auto"/>
          <w:sz w:val="20"/>
          <w:szCs w:val="20"/>
          <w:lang w:eastAsia="en-GB" w:bidi="ar-SA"/>
        </w:rPr>
        <w:t xml:space="preserve">Over the </w:t>
      </w:r>
      <w:r w:rsidR="00667DC1">
        <w:rPr>
          <w:rFonts w:eastAsiaTheme="minorHAnsi"/>
          <w:bCs w:val="0"/>
          <w:iCs w:val="0"/>
          <w:color w:val="auto"/>
          <w:sz w:val="20"/>
          <w:szCs w:val="20"/>
          <w:lang w:eastAsia="en-GB" w:bidi="ar-SA"/>
        </w:rPr>
        <w:t>s</w:t>
      </w:r>
      <w:r w:rsidRPr="00FE2F16">
        <w:rPr>
          <w:rFonts w:eastAsiaTheme="minorHAnsi"/>
          <w:bCs w:val="0"/>
          <w:iCs w:val="0"/>
          <w:color w:val="auto"/>
          <w:sz w:val="20"/>
          <w:szCs w:val="20"/>
          <w:lang w:eastAsia="en-GB" w:bidi="ar-SA"/>
        </w:rPr>
        <w:t xml:space="preserve">cheme year, the </w:t>
      </w:r>
      <w:r w:rsidR="00777824">
        <w:rPr>
          <w:rFonts w:eastAsiaTheme="minorHAnsi"/>
          <w:bCs w:val="0"/>
          <w:iCs w:val="0"/>
          <w:color w:val="auto"/>
          <w:sz w:val="20"/>
          <w:szCs w:val="20"/>
          <w:lang w:eastAsia="en-GB" w:bidi="ar-SA"/>
        </w:rPr>
        <w:t>Trustee’s investment subcommittee</w:t>
      </w:r>
      <w:r>
        <w:rPr>
          <w:rFonts w:eastAsiaTheme="minorHAnsi"/>
          <w:bCs w:val="0"/>
          <w:iCs w:val="0"/>
          <w:color w:val="auto"/>
          <w:sz w:val="20"/>
          <w:szCs w:val="20"/>
          <w:lang w:eastAsia="en-GB" w:bidi="ar-SA"/>
        </w:rPr>
        <w:t xml:space="preserve"> </w:t>
      </w:r>
      <w:r w:rsidRPr="00FE2F16">
        <w:rPr>
          <w:rFonts w:eastAsiaTheme="minorHAnsi"/>
          <w:bCs w:val="0"/>
          <w:iCs w:val="0"/>
          <w:color w:val="auto"/>
          <w:sz w:val="20"/>
          <w:szCs w:val="20"/>
          <w:lang w:eastAsia="en-GB" w:bidi="ar-SA"/>
        </w:rPr>
        <w:t xml:space="preserve">engaged with </w:t>
      </w:r>
      <w:r>
        <w:rPr>
          <w:rFonts w:eastAsiaTheme="minorHAnsi"/>
          <w:bCs w:val="0"/>
          <w:iCs w:val="0"/>
          <w:color w:val="auto"/>
          <w:sz w:val="20"/>
          <w:szCs w:val="20"/>
          <w:lang w:eastAsia="en-GB" w:bidi="ar-SA"/>
        </w:rPr>
        <w:t xml:space="preserve">Urenco </w:t>
      </w:r>
      <w:r w:rsidR="00667DC1">
        <w:rPr>
          <w:rFonts w:eastAsiaTheme="minorHAnsi"/>
          <w:bCs w:val="0"/>
          <w:iCs w:val="0"/>
          <w:color w:val="auto"/>
          <w:sz w:val="20"/>
          <w:szCs w:val="20"/>
          <w:lang w:eastAsia="en-GB" w:bidi="ar-SA"/>
        </w:rPr>
        <w:t>to</w:t>
      </w:r>
      <w:r w:rsidRPr="00FE2F16">
        <w:rPr>
          <w:rFonts w:eastAsiaTheme="minorHAnsi"/>
          <w:bCs w:val="0"/>
          <w:iCs w:val="0"/>
          <w:color w:val="auto"/>
          <w:sz w:val="20"/>
          <w:szCs w:val="20"/>
          <w:lang w:eastAsia="en-GB" w:bidi="ar-SA"/>
        </w:rPr>
        <w:t xml:space="preserve"> carry out a review of the structure of the DC Section. A Working Group </w:t>
      </w:r>
      <w:r>
        <w:rPr>
          <w:rFonts w:eastAsiaTheme="minorHAnsi"/>
          <w:bCs w:val="0"/>
          <w:iCs w:val="0"/>
          <w:color w:val="auto"/>
          <w:sz w:val="20"/>
          <w:szCs w:val="20"/>
          <w:lang w:eastAsia="en-GB" w:bidi="ar-SA"/>
        </w:rPr>
        <w:t xml:space="preserve">will be </w:t>
      </w:r>
      <w:r w:rsidRPr="00FE2F16">
        <w:rPr>
          <w:rFonts w:eastAsiaTheme="minorHAnsi"/>
          <w:bCs w:val="0"/>
          <w:iCs w:val="0"/>
          <w:color w:val="auto"/>
          <w:sz w:val="20"/>
          <w:szCs w:val="20"/>
          <w:lang w:eastAsia="en-GB" w:bidi="ar-SA"/>
        </w:rPr>
        <w:t xml:space="preserve">established, with representatives of </w:t>
      </w:r>
      <w:r>
        <w:rPr>
          <w:rFonts w:eastAsiaTheme="minorHAnsi"/>
          <w:bCs w:val="0"/>
          <w:iCs w:val="0"/>
          <w:color w:val="auto"/>
          <w:sz w:val="20"/>
          <w:szCs w:val="20"/>
          <w:lang w:eastAsia="en-GB" w:bidi="ar-SA"/>
        </w:rPr>
        <w:t xml:space="preserve">Urenco </w:t>
      </w:r>
      <w:r w:rsidRPr="00FE2F16">
        <w:rPr>
          <w:rFonts w:eastAsiaTheme="minorHAnsi"/>
          <w:bCs w:val="0"/>
          <w:iCs w:val="0"/>
          <w:color w:val="auto"/>
          <w:sz w:val="20"/>
          <w:szCs w:val="20"/>
          <w:lang w:eastAsia="en-GB" w:bidi="ar-SA"/>
        </w:rPr>
        <w:t xml:space="preserve">and the Trustee to </w:t>
      </w:r>
      <w:r w:rsidR="00F57CA9">
        <w:rPr>
          <w:rFonts w:eastAsiaTheme="minorHAnsi"/>
          <w:bCs w:val="0"/>
          <w:iCs w:val="0"/>
          <w:color w:val="auto"/>
          <w:sz w:val="20"/>
          <w:szCs w:val="20"/>
          <w:lang w:eastAsia="en-GB" w:bidi="ar-SA"/>
        </w:rPr>
        <w:t xml:space="preserve">finalise this </w:t>
      </w:r>
      <w:r w:rsidRPr="00FE2F16">
        <w:rPr>
          <w:rFonts w:eastAsiaTheme="minorHAnsi"/>
          <w:bCs w:val="0"/>
          <w:iCs w:val="0"/>
          <w:color w:val="auto"/>
          <w:sz w:val="20"/>
          <w:szCs w:val="20"/>
          <w:lang w:eastAsia="en-GB" w:bidi="ar-SA"/>
        </w:rPr>
        <w:t>review and, as a result, it is likely that changes</w:t>
      </w:r>
      <w:r>
        <w:rPr>
          <w:lang w:val="en-US"/>
        </w:rPr>
        <w:t xml:space="preserve"> </w:t>
      </w:r>
      <w:r w:rsidRPr="00FE2F16">
        <w:rPr>
          <w:rFonts w:eastAsiaTheme="minorHAnsi"/>
          <w:bCs w:val="0"/>
          <w:iCs w:val="0"/>
          <w:color w:val="auto"/>
          <w:sz w:val="20"/>
          <w:szCs w:val="20"/>
          <w:lang w:eastAsia="en-GB" w:bidi="ar-SA"/>
        </w:rPr>
        <w:t xml:space="preserve">will be made </w:t>
      </w:r>
      <w:proofErr w:type="gramStart"/>
      <w:r w:rsidRPr="00FE2F16">
        <w:rPr>
          <w:rFonts w:eastAsiaTheme="minorHAnsi"/>
          <w:bCs w:val="0"/>
          <w:iCs w:val="0"/>
          <w:color w:val="auto"/>
          <w:sz w:val="20"/>
          <w:szCs w:val="20"/>
          <w:lang w:eastAsia="en-GB" w:bidi="ar-SA"/>
        </w:rPr>
        <w:t>in the near future</w:t>
      </w:r>
      <w:proofErr w:type="gramEnd"/>
      <w:r w:rsidRPr="00FE2F16">
        <w:rPr>
          <w:rFonts w:eastAsiaTheme="minorHAnsi"/>
          <w:bCs w:val="0"/>
          <w:iCs w:val="0"/>
          <w:color w:val="auto"/>
          <w:sz w:val="20"/>
          <w:szCs w:val="20"/>
          <w:lang w:eastAsia="en-GB" w:bidi="ar-SA"/>
        </w:rPr>
        <w:t>.  Further information setting out the impact of any changes will be provided at an appropriate point in the future</w:t>
      </w:r>
      <w:r>
        <w:rPr>
          <w:rFonts w:eastAsiaTheme="minorHAnsi"/>
          <w:bCs w:val="0"/>
          <w:iCs w:val="0"/>
          <w:color w:val="auto"/>
          <w:sz w:val="20"/>
          <w:szCs w:val="20"/>
          <w:lang w:eastAsia="en-GB" w:bidi="ar-SA"/>
        </w:rPr>
        <w:t>.</w:t>
      </w:r>
    </w:p>
    <w:p w14:paraId="46138A16" w14:textId="43E46E89" w:rsidR="00F4793C" w:rsidRPr="008C37C7" w:rsidRDefault="00F4793C" w:rsidP="00B31D32">
      <w:pPr>
        <w:pStyle w:val="Heading2"/>
        <w:numPr>
          <w:ilvl w:val="1"/>
          <w:numId w:val="13"/>
        </w:numPr>
        <w:spacing w:before="120" w:line="264" w:lineRule="auto"/>
        <w:ind w:left="567" w:hanging="567"/>
        <w:jc w:val="both"/>
        <w:rPr>
          <w:rFonts w:eastAsiaTheme="minorHAnsi"/>
          <w:bCs w:val="0"/>
          <w:iCs w:val="0"/>
          <w:color w:val="auto"/>
          <w:sz w:val="20"/>
          <w:szCs w:val="20"/>
          <w:lang w:eastAsia="en-GB" w:bidi="ar-SA"/>
        </w:rPr>
      </w:pPr>
      <w:r w:rsidRPr="008C37C7">
        <w:rPr>
          <w:rFonts w:eastAsiaTheme="minorHAnsi"/>
          <w:bCs w:val="0"/>
          <w:iCs w:val="0"/>
          <w:color w:val="auto"/>
          <w:sz w:val="20"/>
          <w:szCs w:val="20"/>
          <w:lang w:eastAsia="en-GB" w:bidi="ar-SA"/>
        </w:rPr>
        <w:t xml:space="preserve">The </w:t>
      </w:r>
      <w:r w:rsidR="008C283C">
        <w:rPr>
          <w:rFonts w:eastAsiaTheme="minorHAnsi"/>
          <w:bCs w:val="0"/>
          <w:iCs w:val="0"/>
          <w:color w:val="auto"/>
          <w:sz w:val="20"/>
          <w:szCs w:val="20"/>
          <w:lang w:eastAsia="en-GB" w:bidi="ar-SA"/>
        </w:rPr>
        <w:t xml:space="preserve">Trustee </w:t>
      </w:r>
      <w:r w:rsidR="008C283C" w:rsidRPr="008C37C7">
        <w:rPr>
          <w:rFonts w:eastAsiaTheme="minorHAnsi"/>
          <w:bCs w:val="0"/>
          <w:iCs w:val="0"/>
          <w:color w:val="auto"/>
          <w:sz w:val="20"/>
          <w:szCs w:val="20"/>
          <w:lang w:eastAsia="en-GB" w:bidi="ar-SA"/>
        </w:rPr>
        <w:t>reviewed</w:t>
      </w:r>
      <w:r w:rsidRPr="008C37C7">
        <w:rPr>
          <w:rFonts w:eastAsiaTheme="minorHAnsi"/>
          <w:bCs w:val="0"/>
          <w:iCs w:val="0"/>
          <w:color w:val="auto"/>
          <w:sz w:val="20"/>
          <w:szCs w:val="20"/>
          <w:lang w:eastAsia="en-GB" w:bidi="ar-SA"/>
        </w:rPr>
        <w:t xml:space="preserve"> the following Scheme documents:</w:t>
      </w:r>
    </w:p>
    <w:p w14:paraId="14537F97" w14:textId="77777777" w:rsidR="008C37C7" w:rsidRDefault="00F4793C" w:rsidP="00B31D32">
      <w:pPr>
        <w:pStyle w:val="ListParagraph"/>
        <w:numPr>
          <w:ilvl w:val="2"/>
          <w:numId w:val="13"/>
        </w:numPr>
        <w:spacing w:before="120" w:after="120" w:line="264" w:lineRule="auto"/>
        <w:ind w:left="1287"/>
        <w:contextualSpacing w:val="0"/>
        <w:jc w:val="both"/>
        <w:outlineLvl w:val="1"/>
        <w:rPr>
          <w:lang w:val="en-GB" w:eastAsia="en-GB" w:bidi="ar-SA"/>
        </w:rPr>
      </w:pPr>
      <w:r w:rsidRPr="008C37C7">
        <w:rPr>
          <w:lang w:val="en-GB" w:eastAsia="en-GB" w:bidi="ar-SA"/>
        </w:rPr>
        <w:t xml:space="preserve">the risk </w:t>
      </w:r>
      <w:proofErr w:type="gramStart"/>
      <w:r w:rsidRPr="008C37C7">
        <w:rPr>
          <w:lang w:val="en-GB" w:eastAsia="en-GB" w:bidi="ar-SA"/>
        </w:rPr>
        <w:t>register</w:t>
      </w:r>
      <w:proofErr w:type="gramEnd"/>
    </w:p>
    <w:p w14:paraId="40AA068E" w14:textId="0C94143A" w:rsidR="00F4793C" w:rsidRPr="008C37C7" w:rsidRDefault="00F4793C" w:rsidP="00B31D32">
      <w:pPr>
        <w:pStyle w:val="ListParagraph"/>
        <w:numPr>
          <w:ilvl w:val="2"/>
          <w:numId w:val="13"/>
        </w:numPr>
        <w:spacing w:before="120" w:after="120" w:line="264" w:lineRule="auto"/>
        <w:ind w:left="1287"/>
        <w:contextualSpacing w:val="0"/>
        <w:jc w:val="both"/>
        <w:outlineLvl w:val="1"/>
        <w:rPr>
          <w:lang w:val="en-GB" w:eastAsia="en-GB" w:bidi="ar-SA"/>
        </w:rPr>
      </w:pPr>
      <w:r w:rsidRPr="008C37C7">
        <w:rPr>
          <w:lang w:val="en-GB" w:eastAsia="en-GB" w:bidi="ar-SA"/>
        </w:rPr>
        <w:t>the internal disputes resolution procedure</w:t>
      </w:r>
    </w:p>
    <w:p w14:paraId="55CA55DE" w14:textId="77777777" w:rsidR="00F4793C" w:rsidRDefault="00F4793C" w:rsidP="00B31D32">
      <w:pPr>
        <w:pStyle w:val="ListParagraph"/>
        <w:numPr>
          <w:ilvl w:val="2"/>
          <w:numId w:val="13"/>
        </w:numPr>
        <w:spacing w:before="120" w:after="120" w:line="264" w:lineRule="auto"/>
        <w:ind w:left="1287"/>
        <w:contextualSpacing w:val="0"/>
        <w:jc w:val="both"/>
        <w:outlineLvl w:val="1"/>
        <w:rPr>
          <w:lang w:val="en-GB" w:eastAsia="en-GB" w:bidi="ar-SA"/>
        </w:rPr>
      </w:pPr>
      <w:r>
        <w:rPr>
          <w:lang w:val="en-GB" w:eastAsia="en-GB" w:bidi="ar-SA"/>
        </w:rPr>
        <w:t xml:space="preserve">the payment </w:t>
      </w:r>
      <w:proofErr w:type="gramStart"/>
      <w:r>
        <w:rPr>
          <w:lang w:val="en-GB" w:eastAsia="en-GB" w:bidi="ar-SA"/>
        </w:rPr>
        <w:t>schedule</w:t>
      </w:r>
      <w:proofErr w:type="gramEnd"/>
    </w:p>
    <w:p w14:paraId="6CD19AF8" w14:textId="2467B8A7" w:rsidR="00C9533C" w:rsidRDefault="00C9533C" w:rsidP="00B31D32">
      <w:pPr>
        <w:pStyle w:val="ListParagraph"/>
        <w:numPr>
          <w:ilvl w:val="2"/>
          <w:numId w:val="13"/>
        </w:numPr>
        <w:spacing w:before="120" w:after="120" w:line="264" w:lineRule="auto"/>
        <w:ind w:left="1287"/>
        <w:contextualSpacing w:val="0"/>
        <w:jc w:val="both"/>
        <w:outlineLvl w:val="1"/>
        <w:rPr>
          <w:lang w:val="en-GB" w:eastAsia="en-GB" w:bidi="ar-SA"/>
        </w:rPr>
      </w:pPr>
      <w:r>
        <w:rPr>
          <w:lang w:val="en-GB" w:eastAsia="en-GB" w:bidi="ar-SA"/>
        </w:rPr>
        <w:t>annual report and accounts</w:t>
      </w:r>
    </w:p>
    <w:p w14:paraId="3225F411" w14:textId="6D77F347" w:rsidR="00E431D8" w:rsidRDefault="00E431D8" w:rsidP="006B4574">
      <w:pPr>
        <w:pStyle w:val="ListParagraph"/>
        <w:numPr>
          <w:ilvl w:val="1"/>
          <w:numId w:val="13"/>
        </w:numPr>
        <w:spacing w:before="120" w:after="120" w:line="264" w:lineRule="auto"/>
        <w:ind w:left="567" w:hanging="567"/>
        <w:contextualSpacing w:val="0"/>
        <w:jc w:val="both"/>
        <w:rPr>
          <w:lang w:val="en-GB" w:eastAsia="en-GB" w:bidi="ar-SA"/>
        </w:rPr>
      </w:pPr>
      <w:r>
        <w:rPr>
          <w:lang w:val="en-GB" w:eastAsia="en-GB" w:bidi="ar-SA"/>
        </w:rPr>
        <w:t xml:space="preserve">The structured training programme was followed during the </w:t>
      </w:r>
      <w:r w:rsidR="00561F25">
        <w:rPr>
          <w:lang w:val="en-GB" w:eastAsia="en-GB" w:bidi="ar-SA"/>
        </w:rPr>
        <w:t>S</w:t>
      </w:r>
      <w:r>
        <w:rPr>
          <w:lang w:val="en-GB" w:eastAsia="en-GB" w:bidi="ar-SA"/>
        </w:rPr>
        <w:t xml:space="preserve">cheme year with annual self-assessments completed by all trustee directors.  </w:t>
      </w:r>
      <w:r w:rsidR="00A84EFB">
        <w:rPr>
          <w:lang w:val="en-GB" w:eastAsia="en-GB" w:bidi="ar-SA"/>
        </w:rPr>
        <w:t>The training log was reviewed and updated.</w:t>
      </w:r>
    </w:p>
    <w:p w14:paraId="75110F2F" w14:textId="3EE71FFB" w:rsidR="00E431D8" w:rsidRDefault="00E431D8" w:rsidP="006B4574">
      <w:pPr>
        <w:pStyle w:val="ListParagraph"/>
        <w:numPr>
          <w:ilvl w:val="1"/>
          <w:numId w:val="13"/>
        </w:numPr>
        <w:spacing w:before="120" w:after="120" w:line="264" w:lineRule="auto"/>
        <w:ind w:left="567" w:hanging="567"/>
        <w:contextualSpacing w:val="0"/>
        <w:jc w:val="both"/>
        <w:rPr>
          <w:lang w:val="en-GB" w:eastAsia="en-GB" w:bidi="ar-SA"/>
        </w:rPr>
      </w:pPr>
      <w:r>
        <w:rPr>
          <w:lang w:val="en-GB" w:eastAsia="en-GB" w:bidi="ar-SA"/>
        </w:rPr>
        <w:t xml:space="preserve">The </w:t>
      </w:r>
      <w:r w:rsidR="00F57CA9">
        <w:rPr>
          <w:lang w:val="en-GB" w:eastAsia="en-GB" w:bidi="ar-SA"/>
        </w:rPr>
        <w:t xml:space="preserve">Trustee </w:t>
      </w:r>
      <w:r>
        <w:rPr>
          <w:lang w:val="en-GB" w:eastAsia="en-GB" w:bidi="ar-SA"/>
        </w:rPr>
        <w:t xml:space="preserve">received training at trustee meetings over the </w:t>
      </w:r>
      <w:r w:rsidR="00561F25">
        <w:rPr>
          <w:lang w:val="en-GB" w:eastAsia="en-GB" w:bidi="ar-SA"/>
        </w:rPr>
        <w:t>S</w:t>
      </w:r>
      <w:r>
        <w:rPr>
          <w:lang w:val="en-GB" w:eastAsia="en-GB" w:bidi="ar-SA"/>
        </w:rPr>
        <w:t>cheme year on the following topics:</w:t>
      </w:r>
    </w:p>
    <w:p w14:paraId="2A806434" w14:textId="46D543E9" w:rsidR="00E431D8" w:rsidRDefault="007A320D" w:rsidP="00B31D32">
      <w:pPr>
        <w:pStyle w:val="ListParagraph"/>
        <w:numPr>
          <w:ilvl w:val="2"/>
          <w:numId w:val="13"/>
        </w:numPr>
        <w:spacing w:before="120" w:after="120" w:line="264" w:lineRule="auto"/>
        <w:ind w:left="1287"/>
        <w:contextualSpacing w:val="0"/>
        <w:jc w:val="both"/>
        <w:outlineLvl w:val="1"/>
        <w:rPr>
          <w:lang w:val="en-GB" w:eastAsia="en-GB" w:bidi="ar-SA"/>
        </w:rPr>
      </w:pPr>
      <w:r>
        <w:rPr>
          <w:lang w:val="en-GB" w:eastAsia="en-GB" w:bidi="ar-SA"/>
        </w:rPr>
        <w:t>Master Trusts and how they work in practice to help with future discussions/projects should the Scheme move to a Master Trust.</w:t>
      </w:r>
    </w:p>
    <w:p w14:paraId="1A90E88C" w14:textId="523539FE" w:rsidR="00E431D8" w:rsidRDefault="007A320D" w:rsidP="00B31D32">
      <w:pPr>
        <w:pStyle w:val="ListParagraph"/>
        <w:numPr>
          <w:ilvl w:val="2"/>
          <w:numId w:val="13"/>
        </w:numPr>
        <w:spacing w:before="120" w:after="120" w:line="264" w:lineRule="auto"/>
        <w:ind w:left="1287"/>
        <w:contextualSpacing w:val="0"/>
        <w:jc w:val="both"/>
        <w:outlineLvl w:val="1"/>
        <w:rPr>
          <w:lang w:val="en-GB" w:eastAsia="en-GB" w:bidi="ar-SA"/>
        </w:rPr>
      </w:pPr>
      <w:r>
        <w:rPr>
          <w:lang w:val="en-GB" w:eastAsia="en-GB" w:bidi="ar-SA"/>
        </w:rPr>
        <w:t>Single Code of Practice/Introduction to an Effective governance of the Scheme (ESOG).</w:t>
      </w:r>
    </w:p>
    <w:p w14:paraId="16A70ED2" w14:textId="4D34A004" w:rsidR="007A320D" w:rsidRDefault="007A320D" w:rsidP="00B31D32">
      <w:pPr>
        <w:pStyle w:val="ListParagraph"/>
        <w:numPr>
          <w:ilvl w:val="2"/>
          <w:numId w:val="13"/>
        </w:numPr>
        <w:spacing w:before="120" w:after="120" w:line="264" w:lineRule="auto"/>
        <w:ind w:left="1287"/>
        <w:contextualSpacing w:val="0"/>
        <w:jc w:val="both"/>
        <w:outlineLvl w:val="1"/>
        <w:rPr>
          <w:lang w:val="en-GB" w:eastAsia="en-GB" w:bidi="ar-SA"/>
        </w:rPr>
      </w:pPr>
      <w:r>
        <w:rPr>
          <w:lang w:val="en-GB" w:eastAsia="en-GB" w:bidi="ar-SA"/>
        </w:rPr>
        <w:t>TPR Toolkit to provide a better understanding and knowledge of DC Scheme.</w:t>
      </w:r>
    </w:p>
    <w:p w14:paraId="31A5E8C2" w14:textId="32247DB9" w:rsidR="007A320D" w:rsidRPr="007A320D" w:rsidRDefault="007A320D" w:rsidP="007A320D">
      <w:pPr>
        <w:pStyle w:val="ListParagraph"/>
        <w:numPr>
          <w:ilvl w:val="2"/>
          <w:numId w:val="13"/>
        </w:numPr>
        <w:spacing w:before="120" w:after="120" w:line="264" w:lineRule="auto"/>
        <w:ind w:left="1287"/>
        <w:contextualSpacing w:val="0"/>
        <w:jc w:val="both"/>
        <w:outlineLvl w:val="1"/>
        <w:rPr>
          <w:lang w:val="en-GB" w:eastAsia="en-GB" w:bidi="ar-SA"/>
        </w:rPr>
      </w:pPr>
      <w:r>
        <w:rPr>
          <w:lang w:val="en-GB" w:eastAsia="en-GB" w:bidi="ar-SA"/>
        </w:rPr>
        <w:t>Board Effects to ensure more efficient handling of papers and decisions.</w:t>
      </w:r>
    </w:p>
    <w:p w14:paraId="60DBA1B4" w14:textId="658D13E9" w:rsidR="000D3B93" w:rsidRPr="00447141" w:rsidRDefault="00F57CA9" w:rsidP="00B31D32">
      <w:pPr>
        <w:pStyle w:val="ListParagraph"/>
        <w:numPr>
          <w:ilvl w:val="2"/>
          <w:numId w:val="13"/>
        </w:numPr>
        <w:spacing w:before="120" w:after="120" w:line="264" w:lineRule="auto"/>
        <w:ind w:left="1287"/>
        <w:contextualSpacing w:val="0"/>
        <w:jc w:val="both"/>
        <w:outlineLvl w:val="1"/>
        <w:rPr>
          <w:lang w:val="en-GB" w:eastAsia="en-GB" w:bidi="ar-SA"/>
        </w:rPr>
      </w:pPr>
      <w:r>
        <w:rPr>
          <w:lang w:val="en-GB" w:eastAsia="en-GB" w:bidi="ar-SA"/>
        </w:rPr>
        <w:t>C</w:t>
      </w:r>
      <w:r w:rsidR="000D3B93" w:rsidRPr="00447141">
        <w:rPr>
          <w:lang w:val="en-GB" w:eastAsia="en-GB" w:bidi="ar-SA"/>
        </w:rPr>
        <w:t>onsideration of Environmental, Social and Governance (ESG) risks in relation to investment strategy</w:t>
      </w:r>
      <w:r w:rsidR="007A320D">
        <w:rPr>
          <w:lang w:val="en-GB" w:eastAsia="en-GB" w:bidi="ar-SA"/>
        </w:rPr>
        <w:t>.</w:t>
      </w:r>
    </w:p>
    <w:p w14:paraId="44360B8A" w14:textId="37E1562A" w:rsidR="00E431D8" w:rsidRPr="00447141" w:rsidRDefault="00E431D8" w:rsidP="00FE2F16">
      <w:pPr>
        <w:pStyle w:val="ListParagraph"/>
        <w:spacing w:before="120" w:after="0" w:line="264" w:lineRule="auto"/>
        <w:ind w:left="567"/>
        <w:contextualSpacing w:val="0"/>
        <w:jc w:val="both"/>
        <w:rPr>
          <w:lang w:val="en-GB" w:eastAsia="en-GB" w:bidi="ar-SA"/>
        </w:rPr>
      </w:pPr>
    </w:p>
    <w:p w14:paraId="70B229CC" w14:textId="4CBE3AEE" w:rsidR="003C385A" w:rsidRPr="00447141" w:rsidRDefault="003C385A" w:rsidP="00FE2F16">
      <w:pPr>
        <w:pStyle w:val="ListParagraph"/>
        <w:numPr>
          <w:ilvl w:val="1"/>
          <w:numId w:val="13"/>
        </w:numPr>
        <w:spacing w:after="120" w:line="264" w:lineRule="auto"/>
        <w:ind w:left="567" w:hanging="567"/>
        <w:contextualSpacing w:val="0"/>
        <w:jc w:val="both"/>
        <w:rPr>
          <w:lang w:val="en-GB" w:eastAsia="en-GB" w:bidi="ar-SA"/>
        </w:rPr>
      </w:pPr>
      <w:r>
        <w:t>There w</w:t>
      </w:r>
      <w:r w:rsidR="00B55116">
        <w:t xml:space="preserve">as one </w:t>
      </w:r>
      <w:r>
        <w:t xml:space="preserve">new </w:t>
      </w:r>
      <w:r w:rsidR="00F57CA9">
        <w:t>trustee director a</w:t>
      </w:r>
      <w:r>
        <w:t xml:space="preserve">ppointed during the </w:t>
      </w:r>
      <w:bookmarkStart w:id="3" w:name="_Hlk115339413"/>
      <w:r w:rsidR="00F57CA9">
        <w:t>S</w:t>
      </w:r>
      <w:r w:rsidR="00E431D8" w:rsidRPr="00447141">
        <w:t>cheme year</w:t>
      </w:r>
      <w:r>
        <w:t>.  Th</w:t>
      </w:r>
      <w:r w:rsidR="00B55116">
        <w:t xml:space="preserve">is was </w:t>
      </w:r>
      <w:r>
        <w:t xml:space="preserve">John </w:t>
      </w:r>
      <w:proofErr w:type="spellStart"/>
      <w:r>
        <w:t>Renouf</w:t>
      </w:r>
      <w:proofErr w:type="spellEnd"/>
      <w:r>
        <w:t xml:space="preserve"> (Pensioner </w:t>
      </w:r>
      <w:r w:rsidR="00F57CA9">
        <w:t>t</w:t>
      </w:r>
      <w:r>
        <w:t>rustee</w:t>
      </w:r>
      <w:proofErr w:type="gramStart"/>
      <w:r>
        <w:t>)</w:t>
      </w:r>
      <w:proofErr w:type="gramEnd"/>
      <w:r>
        <w:t xml:space="preserve"> and </w:t>
      </w:r>
      <w:r w:rsidR="00B55116">
        <w:t xml:space="preserve">he has </w:t>
      </w:r>
      <w:r>
        <w:t xml:space="preserve">completed the </w:t>
      </w:r>
      <w:r w:rsidR="00E431D8" w:rsidRPr="00447141">
        <w:t>induction process</w:t>
      </w:r>
      <w:r>
        <w:t xml:space="preserve">.  </w:t>
      </w:r>
    </w:p>
    <w:bookmarkEnd w:id="3"/>
    <w:p w14:paraId="38C41A2F" w14:textId="506B18D8" w:rsidR="00DD6CFA" w:rsidRPr="00EA1E70" w:rsidRDefault="00EA1E70" w:rsidP="006B4574">
      <w:pPr>
        <w:pStyle w:val="ListParagraph"/>
        <w:numPr>
          <w:ilvl w:val="1"/>
          <w:numId w:val="13"/>
        </w:numPr>
        <w:spacing w:before="120" w:after="120" w:line="264" w:lineRule="auto"/>
        <w:ind w:left="567" w:hanging="567"/>
        <w:contextualSpacing w:val="0"/>
        <w:jc w:val="both"/>
        <w:rPr>
          <w:lang w:val="en-GB" w:eastAsia="en-GB" w:bidi="ar-SA"/>
        </w:rPr>
      </w:pPr>
      <w:r w:rsidRPr="004A74B6">
        <w:rPr>
          <w:rFonts w:cs="Segoe UI"/>
          <w:lang w:val="en-GB" w:eastAsia="en-GB" w:bidi="ar-SA"/>
        </w:rPr>
        <w:t xml:space="preserve">Michael </w:t>
      </w:r>
      <w:r w:rsidRPr="00BD2F5B">
        <w:t xml:space="preserve">Roberts </w:t>
      </w:r>
      <w:r w:rsidR="00BD2F5B" w:rsidRPr="00BD2F5B">
        <w:t>(for PAN Trustees UK LLP)</w:t>
      </w:r>
      <w:r w:rsidR="00BD2F5B">
        <w:t xml:space="preserve"> </w:t>
      </w:r>
      <w:r w:rsidR="00DD6CFA" w:rsidRPr="00BD2F5B">
        <w:t>maintain</w:t>
      </w:r>
      <w:r w:rsidR="007F1934" w:rsidRPr="00BD2F5B">
        <w:t>ed</w:t>
      </w:r>
      <w:r w:rsidR="00DD6CFA" w:rsidRPr="004A74B6">
        <w:rPr>
          <w:rFonts w:cs="Segoe UI"/>
          <w:lang w:val="en-GB" w:eastAsia="en-GB" w:bidi="ar-SA"/>
        </w:rPr>
        <w:t xml:space="preserve"> accreditation for </w:t>
      </w:r>
      <w:r w:rsidR="007F1934" w:rsidRPr="004A74B6">
        <w:rPr>
          <w:rFonts w:cs="Segoe UI"/>
          <w:lang w:val="en-GB" w:eastAsia="en-GB" w:bidi="ar-SA"/>
        </w:rPr>
        <w:t xml:space="preserve">the </w:t>
      </w:r>
      <w:r w:rsidR="00DD6CFA" w:rsidRPr="004A74B6">
        <w:rPr>
          <w:rFonts w:cs="Segoe UI"/>
          <w:lang w:val="en-GB" w:eastAsia="en-GB" w:bidi="ar-SA"/>
        </w:rPr>
        <w:t>professional trustee standards</w:t>
      </w:r>
      <w:r w:rsidR="00DD6CFA" w:rsidRPr="004A74B6">
        <w:rPr>
          <w:rFonts w:cs="Segoe UI"/>
          <w:lang w:val="en"/>
        </w:rPr>
        <w:t>, including fitness and propriety, governance skills, ongoing professional development, managing conflicts of interest and the additional standards for professional trustees who act as chair</w:t>
      </w:r>
      <w:r w:rsidR="00DD6CFA" w:rsidRPr="00EA1E70">
        <w:rPr>
          <w:rFonts w:cs="Segoe UI"/>
          <w:lang w:val="en-GB" w:eastAsia="en-GB" w:bidi="ar-SA"/>
        </w:rPr>
        <w:t>.</w:t>
      </w:r>
    </w:p>
    <w:p w14:paraId="0FB8FAB0" w14:textId="7F9B33C4" w:rsidR="003A5256" w:rsidRPr="00447141" w:rsidRDefault="003A5256" w:rsidP="006B4574">
      <w:pPr>
        <w:pStyle w:val="ListParagraph"/>
        <w:numPr>
          <w:ilvl w:val="1"/>
          <w:numId w:val="13"/>
        </w:numPr>
        <w:spacing w:before="120" w:after="120" w:line="264" w:lineRule="auto"/>
        <w:ind w:left="567" w:hanging="567"/>
        <w:contextualSpacing w:val="0"/>
        <w:jc w:val="both"/>
        <w:rPr>
          <w:lang w:val="en-GB" w:eastAsia="en-GB" w:bidi="ar-SA"/>
        </w:rPr>
      </w:pPr>
      <w:r>
        <w:t xml:space="preserve">During the </w:t>
      </w:r>
      <w:r w:rsidR="008C283C">
        <w:t>S</w:t>
      </w:r>
      <w:r w:rsidR="00BF7231" w:rsidRPr="00447141">
        <w:t>cheme year</w:t>
      </w:r>
      <w:r w:rsidRPr="00447141">
        <w:t xml:space="preserve">, the </w:t>
      </w:r>
      <w:r w:rsidR="00F57CA9">
        <w:t xml:space="preserve">Trustee </w:t>
      </w:r>
      <w:r w:rsidR="00F57CA9" w:rsidRPr="00447141">
        <w:t>took</w:t>
      </w:r>
      <w:r w:rsidR="00A80361" w:rsidRPr="00447141">
        <w:t xml:space="preserve"> </w:t>
      </w:r>
      <w:r w:rsidRPr="00447141">
        <w:t>professional advice on:</w:t>
      </w:r>
    </w:p>
    <w:p w14:paraId="27F9CCBF" w14:textId="57BB778C" w:rsidR="001E33F1" w:rsidRPr="00FE2F16" w:rsidRDefault="003A5256" w:rsidP="001E33F1">
      <w:pPr>
        <w:pStyle w:val="ListParagraph"/>
        <w:numPr>
          <w:ilvl w:val="2"/>
          <w:numId w:val="13"/>
        </w:numPr>
        <w:spacing w:before="120" w:after="0" w:line="264" w:lineRule="auto"/>
        <w:ind w:left="1287"/>
        <w:contextualSpacing w:val="0"/>
        <w:jc w:val="both"/>
        <w:outlineLvl w:val="1"/>
        <w:rPr>
          <w:lang w:val="en-GB" w:eastAsia="en-GB" w:bidi="ar-SA"/>
        </w:rPr>
      </w:pPr>
      <w:r w:rsidRPr="00447141">
        <w:t xml:space="preserve">assessing the </w:t>
      </w:r>
      <w:r w:rsidR="00145260">
        <w:t>scheme</w:t>
      </w:r>
      <w:r w:rsidRPr="00447141">
        <w:t xml:space="preserve">’s DC </w:t>
      </w:r>
      <w:r w:rsidRPr="00447141">
        <w:rPr>
          <w:rFonts w:eastAsia="Times New Roman" w:cs="Segoe UI"/>
          <w:bCs/>
          <w:color w:val="000000" w:themeColor="text1"/>
        </w:rPr>
        <w:t>arrangements</w:t>
      </w:r>
      <w:r w:rsidRPr="00447141">
        <w:t xml:space="preserve"> against the Pensions Regulator’s Code of Practice 13</w:t>
      </w:r>
      <w:r w:rsidR="00A80361" w:rsidRPr="00447141">
        <w:t xml:space="preserve"> (“DC Code”)</w:t>
      </w:r>
    </w:p>
    <w:p w14:paraId="7A77764F" w14:textId="31336077" w:rsidR="00667DC1" w:rsidRPr="00F57CA9" w:rsidRDefault="00E11DF2" w:rsidP="005F1AC3">
      <w:pPr>
        <w:pStyle w:val="ListParagraph"/>
        <w:numPr>
          <w:ilvl w:val="2"/>
          <w:numId w:val="13"/>
        </w:numPr>
        <w:spacing w:before="120" w:after="0" w:line="264" w:lineRule="auto"/>
        <w:ind w:left="1287"/>
        <w:contextualSpacing w:val="0"/>
        <w:jc w:val="both"/>
        <w:outlineLvl w:val="1"/>
        <w:rPr>
          <w:lang w:val="en-GB" w:eastAsia="en-GB" w:bidi="ar-SA"/>
        </w:rPr>
      </w:pPr>
      <w:r>
        <w:rPr>
          <w:lang w:val="en-GB" w:eastAsia="en-GB" w:bidi="ar-SA"/>
        </w:rPr>
        <w:t>t</w:t>
      </w:r>
      <w:r w:rsidR="00667DC1" w:rsidRPr="00F57CA9">
        <w:rPr>
          <w:lang w:val="en-GB" w:eastAsia="en-GB" w:bidi="ar-SA"/>
        </w:rPr>
        <w:t xml:space="preserve">he feasibility of discharging the Scheme’s assets to a master trust arrangement </w:t>
      </w:r>
    </w:p>
    <w:p w14:paraId="642948DC" w14:textId="09BE08B4" w:rsidR="00A80361" w:rsidRPr="00447141" w:rsidRDefault="00A80361" w:rsidP="00B31D32">
      <w:pPr>
        <w:pStyle w:val="ListParagraph"/>
        <w:numPr>
          <w:ilvl w:val="2"/>
          <w:numId w:val="13"/>
        </w:numPr>
        <w:spacing w:before="120" w:after="0" w:line="264" w:lineRule="auto"/>
        <w:ind w:left="1287"/>
        <w:contextualSpacing w:val="0"/>
        <w:jc w:val="both"/>
        <w:outlineLvl w:val="1"/>
        <w:rPr>
          <w:lang w:val="en-GB" w:eastAsia="en-GB" w:bidi="ar-SA"/>
        </w:rPr>
      </w:pPr>
      <w:r w:rsidRPr="00447141">
        <w:t>undertaking the annual value for members assessment</w:t>
      </w:r>
    </w:p>
    <w:p w14:paraId="5059C289" w14:textId="0A38239A" w:rsidR="00A80361" w:rsidRPr="00447141" w:rsidRDefault="00BF7231" w:rsidP="00B31D32">
      <w:pPr>
        <w:pStyle w:val="ListParagraph"/>
        <w:numPr>
          <w:ilvl w:val="2"/>
          <w:numId w:val="13"/>
        </w:numPr>
        <w:spacing w:before="120" w:after="0" w:line="264" w:lineRule="auto"/>
        <w:ind w:left="1287"/>
        <w:contextualSpacing w:val="0"/>
        <w:jc w:val="both"/>
        <w:outlineLvl w:val="1"/>
        <w:rPr>
          <w:lang w:val="en-GB" w:eastAsia="en-GB" w:bidi="ar-SA"/>
        </w:rPr>
      </w:pPr>
      <w:r w:rsidRPr="00447141">
        <w:rPr>
          <w:lang w:val="en-GB" w:eastAsia="en-GB" w:bidi="ar-SA"/>
        </w:rPr>
        <w:lastRenderedPageBreak/>
        <w:t xml:space="preserve">disclosure of costs, </w:t>
      </w:r>
      <w:proofErr w:type="gramStart"/>
      <w:r w:rsidRPr="00447141">
        <w:rPr>
          <w:lang w:val="en-GB" w:eastAsia="en-GB" w:bidi="ar-SA"/>
        </w:rPr>
        <w:t>charges</w:t>
      </w:r>
      <w:proofErr w:type="gramEnd"/>
      <w:r w:rsidRPr="00447141">
        <w:rPr>
          <w:lang w:val="en-GB" w:eastAsia="en-GB" w:bidi="ar-SA"/>
        </w:rPr>
        <w:t xml:space="preserve"> and investments</w:t>
      </w:r>
      <w:r w:rsidRPr="00447141" w:rsidDel="00BF7231">
        <w:rPr>
          <w:lang w:val="en-GB" w:eastAsia="en-GB" w:bidi="ar-SA"/>
        </w:rPr>
        <w:t xml:space="preserve"> </w:t>
      </w:r>
    </w:p>
    <w:p w14:paraId="36DD687E" w14:textId="20217C36" w:rsidR="004E2F47" w:rsidRDefault="004E2F47" w:rsidP="00847A5D">
      <w:pPr>
        <w:pStyle w:val="Heading2"/>
        <w:rPr>
          <w:lang w:eastAsia="en-GB"/>
        </w:rPr>
      </w:pPr>
      <w:r>
        <w:rPr>
          <w:lang w:eastAsia="en-GB"/>
        </w:rPr>
        <w:t>Assessment</w:t>
      </w:r>
    </w:p>
    <w:p w14:paraId="5078DE26" w14:textId="4D3162C6" w:rsidR="00AB20B9" w:rsidRDefault="003E7F89" w:rsidP="006B4574">
      <w:pPr>
        <w:pStyle w:val="ListParagraph"/>
        <w:numPr>
          <w:ilvl w:val="1"/>
          <w:numId w:val="13"/>
        </w:numPr>
        <w:spacing w:before="120" w:after="120" w:line="264" w:lineRule="auto"/>
        <w:ind w:left="567" w:hanging="567"/>
        <w:contextualSpacing w:val="0"/>
        <w:jc w:val="both"/>
        <w:rPr>
          <w:lang w:val="en-GB" w:eastAsia="en-GB" w:bidi="ar-SA"/>
        </w:rPr>
      </w:pPr>
      <w:r>
        <w:rPr>
          <w:lang w:val="en-GB" w:eastAsia="en-GB" w:bidi="ar-SA"/>
        </w:rPr>
        <w:t>T</w:t>
      </w:r>
      <w:r w:rsidR="001365C4">
        <w:rPr>
          <w:lang w:val="en-GB" w:eastAsia="en-GB" w:bidi="ar-SA"/>
        </w:rPr>
        <w:t xml:space="preserve">he </w:t>
      </w:r>
      <w:r w:rsidR="00F57CA9">
        <w:rPr>
          <w:lang w:val="en-GB" w:eastAsia="en-GB" w:bidi="ar-SA"/>
        </w:rPr>
        <w:t>Trustee considers</w:t>
      </w:r>
      <w:r w:rsidR="00113D44">
        <w:rPr>
          <w:lang w:val="en-GB" w:eastAsia="en-GB" w:bidi="ar-SA"/>
        </w:rPr>
        <w:t xml:space="preserve"> that</w:t>
      </w:r>
      <w:r w:rsidR="00A84EFB">
        <w:rPr>
          <w:lang w:val="en-GB" w:eastAsia="en-GB" w:bidi="ar-SA"/>
        </w:rPr>
        <w:t xml:space="preserve"> </w:t>
      </w:r>
      <w:r w:rsidR="008C283C">
        <w:rPr>
          <w:lang w:val="en-GB" w:eastAsia="en-GB" w:bidi="ar-SA"/>
        </w:rPr>
        <w:t xml:space="preserve">its </w:t>
      </w:r>
      <w:r w:rsidR="00A84EFB">
        <w:rPr>
          <w:lang w:val="en-GB" w:eastAsia="en-GB" w:bidi="ar-SA"/>
        </w:rPr>
        <w:t>combined knowledge and understanding</w:t>
      </w:r>
      <w:r w:rsidR="003E64A7">
        <w:rPr>
          <w:lang w:val="en-GB" w:eastAsia="en-GB" w:bidi="ar-SA"/>
        </w:rPr>
        <w:t xml:space="preserve">, </w:t>
      </w:r>
      <w:r w:rsidR="00A84EFB">
        <w:rPr>
          <w:lang w:val="en-GB" w:eastAsia="en-GB" w:bidi="ar-SA"/>
        </w:rPr>
        <w:t xml:space="preserve">together </w:t>
      </w:r>
      <w:r w:rsidR="00113D44">
        <w:rPr>
          <w:lang w:val="en-GB" w:eastAsia="en-GB" w:bidi="ar-SA"/>
        </w:rPr>
        <w:t xml:space="preserve">with </w:t>
      </w:r>
      <w:r w:rsidR="008C283C">
        <w:rPr>
          <w:lang w:val="en-GB" w:eastAsia="en-GB" w:bidi="ar-SA"/>
        </w:rPr>
        <w:t xml:space="preserve">its </w:t>
      </w:r>
      <w:r w:rsidR="00A84EFB">
        <w:rPr>
          <w:lang w:val="en-GB" w:eastAsia="en-GB" w:bidi="ar-SA"/>
        </w:rPr>
        <w:t>access to</w:t>
      </w:r>
      <w:r w:rsidR="00113D44">
        <w:rPr>
          <w:lang w:val="en-GB" w:eastAsia="en-GB" w:bidi="ar-SA"/>
        </w:rPr>
        <w:t xml:space="preserve"> </w:t>
      </w:r>
      <w:r w:rsidR="003E64A7">
        <w:rPr>
          <w:lang w:val="en-GB" w:eastAsia="en-GB" w:bidi="ar-SA"/>
        </w:rPr>
        <w:t xml:space="preserve">professional </w:t>
      </w:r>
      <w:r w:rsidR="00113D44">
        <w:rPr>
          <w:lang w:val="en-GB" w:eastAsia="en-GB" w:bidi="ar-SA"/>
        </w:rPr>
        <w:t>advice</w:t>
      </w:r>
      <w:r w:rsidR="00A84EFB">
        <w:rPr>
          <w:lang w:val="en-GB" w:eastAsia="en-GB" w:bidi="ar-SA"/>
        </w:rPr>
        <w:t>,</w:t>
      </w:r>
      <w:r w:rsidR="003E64A7">
        <w:rPr>
          <w:lang w:val="en-GB" w:eastAsia="en-GB" w:bidi="ar-SA"/>
        </w:rPr>
        <w:t xml:space="preserve"> </w:t>
      </w:r>
      <w:r w:rsidR="00A84EFB">
        <w:rPr>
          <w:lang w:val="en-GB" w:eastAsia="en-GB" w:bidi="ar-SA"/>
        </w:rPr>
        <w:t xml:space="preserve">enables </w:t>
      </w:r>
      <w:r w:rsidR="008C283C">
        <w:rPr>
          <w:lang w:val="en-GB" w:eastAsia="en-GB" w:bidi="ar-SA"/>
        </w:rPr>
        <w:t xml:space="preserve">it </w:t>
      </w:r>
      <w:r w:rsidR="005B2BED" w:rsidRPr="00AB20B9">
        <w:rPr>
          <w:lang w:val="en-GB" w:eastAsia="en-GB" w:bidi="ar-SA"/>
        </w:rPr>
        <w:t>to</w:t>
      </w:r>
      <w:r w:rsidR="00AB20B9" w:rsidRPr="00AB20B9">
        <w:rPr>
          <w:lang w:val="en-GB" w:eastAsia="en-GB" w:bidi="ar-SA"/>
        </w:rPr>
        <w:t xml:space="preserve"> </w:t>
      </w:r>
      <w:proofErr w:type="gramStart"/>
      <w:r w:rsidR="00AB20B9" w:rsidRPr="00AB20B9">
        <w:rPr>
          <w:lang w:val="en-GB" w:eastAsia="en-GB" w:bidi="ar-SA"/>
        </w:rPr>
        <w:t xml:space="preserve">properly </w:t>
      </w:r>
      <w:r w:rsidR="0055045C">
        <w:rPr>
          <w:lang w:val="en-GB" w:eastAsia="en-GB" w:bidi="ar-SA"/>
        </w:rPr>
        <w:t xml:space="preserve">and effectively </w:t>
      </w:r>
      <w:r w:rsidR="00AB20B9" w:rsidRPr="00AB20B9">
        <w:rPr>
          <w:lang w:val="en-GB" w:eastAsia="en-GB" w:bidi="ar-SA"/>
        </w:rPr>
        <w:t xml:space="preserve">exercise </w:t>
      </w:r>
      <w:r w:rsidR="008C283C">
        <w:rPr>
          <w:lang w:val="en-GB" w:eastAsia="en-GB" w:bidi="ar-SA"/>
        </w:rPr>
        <w:t xml:space="preserve">its </w:t>
      </w:r>
      <w:r w:rsidR="00D63BCE">
        <w:rPr>
          <w:lang w:val="en-GB" w:eastAsia="en-GB" w:bidi="ar-SA"/>
        </w:rPr>
        <w:t>t</w:t>
      </w:r>
      <w:r w:rsidR="00D63BCE" w:rsidRPr="00AB20B9">
        <w:rPr>
          <w:lang w:val="en-GB" w:eastAsia="en-GB" w:bidi="ar-SA"/>
        </w:rPr>
        <w:t xml:space="preserve">rustee </w:t>
      </w:r>
      <w:r w:rsidR="00AB20B9" w:rsidRPr="00AB20B9">
        <w:rPr>
          <w:lang w:val="en-GB" w:eastAsia="en-GB" w:bidi="ar-SA"/>
        </w:rPr>
        <w:t>functions</w:t>
      </w:r>
      <w:proofErr w:type="gramEnd"/>
      <w:r w:rsidR="00B0074E">
        <w:rPr>
          <w:lang w:val="en-GB" w:eastAsia="en-GB" w:bidi="ar-SA"/>
        </w:rPr>
        <w:t xml:space="preserve"> in the following ways:</w:t>
      </w:r>
    </w:p>
    <w:p w14:paraId="402B22E4" w14:textId="765C1732" w:rsidR="000A1549" w:rsidRPr="00B0074E" w:rsidRDefault="00E11DF2" w:rsidP="00B31D32">
      <w:pPr>
        <w:pStyle w:val="ListParagraph"/>
        <w:numPr>
          <w:ilvl w:val="2"/>
          <w:numId w:val="13"/>
        </w:numPr>
        <w:spacing w:before="120" w:after="0" w:line="264" w:lineRule="auto"/>
        <w:ind w:left="1287"/>
        <w:contextualSpacing w:val="0"/>
        <w:jc w:val="both"/>
        <w:outlineLvl w:val="1"/>
        <w:rPr>
          <w:lang w:val="en-GB" w:eastAsia="en-GB" w:bidi="ar-SA"/>
        </w:rPr>
      </w:pPr>
      <w:r>
        <w:rPr>
          <w:lang w:val="en-GB" w:eastAsia="en-GB" w:bidi="ar-SA"/>
        </w:rPr>
        <w:t>t</w:t>
      </w:r>
      <w:r w:rsidR="0094517A" w:rsidRPr="00B31D32">
        <w:rPr>
          <w:lang w:val="en-GB" w:eastAsia="en-GB" w:bidi="ar-SA"/>
        </w:rPr>
        <w:t>he</w:t>
      </w:r>
      <w:r w:rsidR="00F57CA9">
        <w:rPr>
          <w:lang w:val="en-GB" w:eastAsia="en-GB" w:bidi="ar-SA"/>
        </w:rPr>
        <w:t xml:space="preserve"> Trustee is</w:t>
      </w:r>
      <w:r w:rsidR="00B0074E" w:rsidRPr="00B31D32">
        <w:rPr>
          <w:lang w:val="en-GB" w:eastAsia="en-GB" w:bidi="ar-SA"/>
        </w:rPr>
        <w:t xml:space="preserve"> able to challenge and question advisers, </w:t>
      </w:r>
      <w:r w:rsidR="00DF5465" w:rsidRPr="00B31D32">
        <w:rPr>
          <w:lang w:val="en-GB" w:eastAsia="en-GB" w:bidi="ar-SA"/>
        </w:rPr>
        <w:t xml:space="preserve">service providers </w:t>
      </w:r>
      <w:r w:rsidR="00B0074E" w:rsidRPr="00B31D32">
        <w:rPr>
          <w:lang w:val="en-GB" w:eastAsia="en-GB" w:bidi="ar-SA"/>
        </w:rPr>
        <w:t xml:space="preserve">and other </w:t>
      </w:r>
      <w:r w:rsidR="00DF5465" w:rsidRPr="00B31D32">
        <w:rPr>
          <w:lang w:val="en-GB" w:eastAsia="en-GB" w:bidi="ar-SA"/>
        </w:rPr>
        <w:t>parties</w:t>
      </w:r>
      <w:r w:rsidR="00B0074E" w:rsidRPr="00B31D32">
        <w:rPr>
          <w:lang w:val="en-GB" w:eastAsia="en-GB" w:bidi="ar-SA"/>
        </w:rPr>
        <w:t xml:space="preserve"> </w:t>
      </w:r>
      <w:proofErr w:type="gramStart"/>
      <w:r w:rsidR="00B0074E" w:rsidRPr="00B31D32">
        <w:rPr>
          <w:lang w:val="en-GB" w:eastAsia="en-GB" w:bidi="ar-SA"/>
        </w:rPr>
        <w:t>effectively</w:t>
      </w:r>
      <w:proofErr w:type="gramEnd"/>
    </w:p>
    <w:p w14:paraId="276A65DB" w14:textId="772DB581" w:rsidR="00B0074E" w:rsidRPr="00B0074E" w:rsidRDefault="00E11DF2" w:rsidP="00B31D32">
      <w:pPr>
        <w:pStyle w:val="ListParagraph"/>
        <w:numPr>
          <w:ilvl w:val="2"/>
          <w:numId w:val="13"/>
        </w:numPr>
        <w:spacing w:before="120" w:after="0" w:line="264" w:lineRule="auto"/>
        <w:ind w:left="1287"/>
        <w:contextualSpacing w:val="0"/>
        <w:jc w:val="both"/>
        <w:outlineLvl w:val="1"/>
        <w:rPr>
          <w:lang w:val="en-GB" w:eastAsia="en-GB" w:bidi="ar-SA"/>
        </w:rPr>
      </w:pPr>
      <w:r>
        <w:rPr>
          <w:lang w:val="en-GB" w:eastAsia="en-GB" w:bidi="ar-SA"/>
        </w:rPr>
        <w:t>t</w:t>
      </w:r>
      <w:r w:rsidR="00B0074E" w:rsidRPr="00B31D32">
        <w:rPr>
          <w:lang w:val="en-GB" w:eastAsia="en-GB" w:bidi="ar-SA"/>
        </w:rPr>
        <w:t xml:space="preserve">rustee decisions are made in accordance with the Scheme rules and in line with trust law </w:t>
      </w:r>
      <w:proofErr w:type="gramStart"/>
      <w:r w:rsidR="00B0074E" w:rsidRPr="00B31D32">
        <w:rPr>
          <w:lang w:val="en-GB" w:eastAsia="en-GB" w:bidi="ar-SA"/>
        </w:rPr>
        <w:t>duties</w:t>
      </w:r>
      <w:proofErr w:type="gramEnd"/>
    </w:p>
    <w:p w14:paraId="439CB88C" w14:textId="1C9D569F" w:rsidR="00B0074E" w:rsidRPr="00AB20B9" w:rsidRDefault="00E11DF2" w:rsidP="00B31D32">
      <w:pPr>
        <w:pStyle w:val="ListParagraph"/>
        <w:numPr>
          <w:ilvl w:val="2"/>
          <w:numId w:val="13"/>
        </w:numPr>
        <w:spacing w:before="120" w:after="0" w:line="264" w:lineRule="auto"/>
        <w:ind w:left="1287"/>
        <w:contextualSpacing w:val="0"/>
        <w:jc w:val="both"/>
        <w:outlineLvl w:val="1"/>
        <w:rPr>
          <w:lang w:val="en-GB" w:eastAsia="en-GB" w:bidi="ar-SA"/>
        </w:rPr>
      </w:pPr>
      <w:r>
        <w:rPr>
          <w:lang w:val="en-GB" w:eastAsia="en-GB" w:bidi="ar-SA"/>
        </w:rPr>
        <w:t>t</w:t>
      </w:r>
      <w:r w:rsidR="002359A7" w:rsidRPr="00B31D32">
        <w:rPr>
          <w:lang w:val="en-GB" w:eastAsia="en-GB" w:bidi="ar-SA"/>
        </w:rPr>
        <w:t xml:space="preserve">he </w:t>
      </w:r>
      <w:r w:rsidR="00F57CA9">
        <w:rPr>
          <w:lang w:val="en-GB" w:eastAsia="en-GB" w:bidi="ar-SA"/>
        </w:rPr>
        <w:t xml:space="preserve">Trustee’s </w:t>
      </w:r>
      <w:r w:rsidR="00B0074E" w:rsidRPr="00B31D32">
        <w:rPr>
          <w:lang w:val="en-GB" w:eastAsia="en-GB" w:bidi="ar-SA"/>
        </w:rPr>
        <w:t xml:space="preserve">decisions are not compromised by such things as conflicts or hospitality </w:t>
      </w:r>
      <w:proofErr w:type="gramStart"/>
      <w:r w:rsidR="00B0074E" w:rsidRPr="00B31D32">
        <w:rPr>
          <w:lang w:val="en-GB" w:eastAsia="en-GB" w:bidi="ar-SA"/>
        </w:rPr>
        <w:t>arrangements</w:t>
      </w:r>
      <w:proofErr w:type="gramEnd"/>
    </w:p>
    <w:p w14:paraId="5078DE27" w14:textId="77777777" w:rsidR="00E630BC" w:rsidRDefault="00E630BC" w:rsidP="00B0074E">
      <w:pPr>
        <w:pStyle w:val="BodyText"/>
        <w:ind w:left="2127" w:hanging="850"/>
        <w:rPr>
          <w:sz w:val="24"/>
          <w:szCs w:val="24"/>
          <w:lang w:eastAsia="en-GB" w:bidi="ar-SA"/>
        </w:rPr>
      </w:pPr>
    </w:p>
    <w:p w14:paraId="5078DE28" w14:textId="77777777" w:rsidR="00E630BC" w:rsidRDefault="00E630BC" w:rsidP="00F0679A">
      <w:pPr>
        <w:pStyle w:val="BodyText"/>
        <w:tabs>
          <w:tab w:val="left" w:pos="426"/>
          <w:tab w:val="left" w:pos="5954"/>
        </w:tabs>
        <w:ind w:firstLine="425"/>
        <w:rPr>
          <w:lang w:eastAsia="en-GB" w:bidi="ar-SA"/>
        </w:rPr>
      </w:pPr>
      <w:r>
        <w:rPr>
          <w:lang w:eastAsia="en-GB" w:bidi="ar-SA"/>
        </w:rPr>
        <w:tab/>
        <w:t>………………………………………………………………………….</w:t>
      </w:r>
      <w:r>
        <w:rPr>
          <w:lang w:eastAsia="en-GB" w:bidi="ar-SA"/>
        </w:rPr>
        <w:tab/>
      </w:r>
      <w:r w:rsidR="00F5160D">
        <w:rPr>
          <w:lang w:eastAsia="en-GB" w:bidi="ar-SA"/>
        </w:rPr>
        <w:t>……………………………………………</w:t>
      </w:r>
    </w:p>
    <w:p w14:paraId="7F97F09F" w14:textId="2953E680" w:rsidR="00E11DF2" w:rsidRPr="00E11DF2" w:rsidRDefault="008638EA" w:rsidP="00F0679A">
      <w:pPr>
        <w:pStyle w:val="BodyText"/>
        <w:tabs>
          <w:tab w:val="left" w:pos="426"/>
          <w:tab w:val="left" w:pos="5954"/>
        </w:tabs>
        <w:ind w:firstLine="425"/>
        <w:rPr>
          <w:rFonts w:ascii="Calibri" w:hAnsi="Calibri" w:cs="Calibri"/>
          <w:b/>
          <w:bCs/>
          <w:sz w:val="22"/>
          <w:szCs w:val="22"/>
        </w:rPr>
      </w:pPr>
      <w:r w:rsidRPr="00E11DF2">
        <w:rPr>
          <w:rFonts w:cs="Segoe UI"/>
          <w:b/>
          <w:bCs/>
          <w:lang w:eastAsia="en-GB" w:bidi="ar-SA"/>
        </w:rPr>
        <w:t>Michael Roberts</w:t>
      </w:r>
      <w:r w:rsidR="00E11DF2" w:rsidRPr="00E11DF2">
        <w:rPr>
          <w:rFonts w:cs="Segoe UI"/>
          <w:b/>
          <w:bCs/>
          <w:lang w:eastAsia="en-GB" w:bidi="ar-SA"/>
        </w:rPr>
        <w:t xml:space="preserve"> (</w:t>
      </w:r>
      <w:r w:rsidR="00E11DF2" w:rsidRPr="00E11DF2">
        <w:rPr>
          <w:rFonts w:ascii="Calibri" w:hAnsi="Calibri" w:cs="Calibri"/>
          <w:b/>
          <w:bCs/>
          <w:sz w:val="22"/>
          <w:szCs w:val="22"/>
        </w:rPr>
        <w:t>for PAN Trustees UK LLP)</w:t>
      </w:r>
      <w:r w:rsidR="00E11DF2" w:rsidRPr="00E11DF2">
        <w:rPr>
          <w:rFonts w:ascii="Calibri" w:hAnsi="Calibri" w:cs="Calibri"/>
          <w:b/>
          <w:bCs/>
          <w:sz w:val="22"/>
          <w:szCs w:val="22"/>
        </w:rPr>
        <w:tab/>
      </w:r>
      <w:r w:rsidR="00E11DF2" w:rsidRPr="00E11DF2">
        <w:rPr>
          <w:rFonts w:cs="Segoe UI"/>
          <w:b/>
          <w:bCs/>
        </w:rPr>
        <w:t>Date</w:t>
      </w:r>
    </w:p>
    <w:p w14:paraId="5078DE29" w14:textId="291F2787" w:rsidR="00A56CE0" w:rsidRDefault="00E630BC" w:rsidP="00F0679A">
      <w:pPr>
        <w:pStyle w:val="BodyText"/>
        <w:tabs>
          <w:tab w:val="left" w:pos="426"/>
          <w:tab w:val="left" w:pos="5954"/>
        </w:tabs>
        <w:ind w:firstLine="425"/>
        <w:rPr>
          <w:rFonts w:cs="Segoe UI"/>
        </w:rPr>
      </w:pPr>
      <w:r w:rsidRPr="00E11DF2">
        <w:rPr>
          <w:rFonts w:cs="Segoe UI"/>
          <w:b/>
          <w:bCs/>
        </w:rPr>
        <w:t>Chair of the Trustee</w:t>
      </w:r>
      <w:r>
        <w:rPr>
          <w:rFonts w:cs="Segoe UI"/>
        </w:rPr>
        <w:tab/>
      </w:r>
    </w:p>
    <w:p w14:paraId="137D9761" w14:textId="77777777" w:rsidR="00D7661B" w:rsidRDefault="00D7661B">
      <w:pPr>
        <w:rPr>
          <w:rFonts w:cs="Segoe UI"/>
        </w:rPr>
      </w:pPr>
    </w:p>
    <w:p w14:paraId="2EC830A3" w14:textId="77777777" w:rsidR="00444AEB" w:rsidRDefault="00444AEB">
      <w:pPr>
        <w:rPr>
          <w:rFonts w:cs="Segoe UI"/>
        </w:rPr>
        <w:sectPr w:rsidR="00444AEB" w:rsidSect="003E06EC">
          <w:headerReference w:type="even" r:id="rId9"/>
          <w:headerReference w:type="default" r:id="rId10"/>
          <w:footerReference w:type="even" r:id="rId11"/>
          <w:footerReference w:type="default" r:id="rId12"/>
          <w:headerReference w:type="first" r:id="rId13"/>
          <w:footerReference w:type="first" r:id="rId14"/>
          <w:pgSz w:w="11906" w:h="16838"/>
          <w:pgMar w:top="958" w:right="1021" w:bottom="1440" w:left="1021" w:header="425" w:footer="709" w:gutter="0"/>
          <w:cols w:space="708"/>
          <w:docGrid w:linePitch="360"/>
        </w:sectPr>
      </w:pPr>
    </w:p>
    <w:p w14:paraId="3972F842" w14:textId="4D3AC6DA" w:rsidR="0055045C" w:rsidRDefault="002B7E60" w:rsidP="0033278E">
      <w:pPr>
        <w:pStyle w:val="Heading1"/>
        <w:numPr>
          <w:ilvl w:val="0"/>
          <w:numId w:val="0"/>
        </w:numPr>
      </w:pPr>
      <w:r>
        <w:lastRenderedPageBreak/>
        <w:t xml:space="preserve">Appendix – Illustrations on the impact of cost and charges </w:t>
      </w:r>
    </w:p>
    <w:p w14:paraId="48BB03B4" w14:textId="6F356678" w:rsidR="0018505E" w:rsidRDefault="00447B07" w:rsidP="006B4574">
      <w:pPr>
        <w:pStyle w:val="ListParagraph"/>
        <w:numPr>
          <w:ilvl w:val="1"/>
          <w:numId w:val="9"/>
        </w:numPr>
        <w:spacing w:before="120" w:after="120" w:line="264" w:lineRule="auto"/>
        <w:ind w:left="567" w:hanging="567"/>
        <w:contextualSpacing w:val="0"/>
        <w:jc w:val="both"/>
        <w:rPr>
          <w:lang w:val="en-GB" w:eastAsia="en-GB" w:bidi="ar-SA"/>
        </w:rPr>
      </w:pPr>
      <w:r w:rsidRPr="002A5C07">
        <w:rPr>
          <w:lang w:val="en-GB" w:eastAsia="en-GB" w:bidi="ar-SA"/>
        </w:rPr>
        <w:t xml:space="preserve">To demonstrate the impact of </w:t>
      </w:r>
      <w:r>
        <w:rPr>
          <w:lang w:val="en-GB" w:eastAsia="en-GB" w:bidi="ar-SA"/>
        </w:rPr>
        <w:t xml:space="preserve">member-borne charges and transaction costs on the value of members’ pension savings, </w:t>
      </w:r>
      <w:r w:rsidRPr="002A5C07">
        <w:rPr>
          <w:lang w:val="en-GB" w:eastAsia="en-GB" w:bidi="ar-SA"/>
        </w:rPr>
        <w:t xml:space="preserve">the Trustee has produced illustrations </w:t>
      </w:r>
      <w:r w:rsidR="0018505E">
        <w:rPr>
          <w:lang w:val="en-GB" w:eastAsia="en-GB" w:bidi="ar-SA"/>
        </w:rPr>
        <w:t>in accordance with statutory guidance</w:t>
      </w:r>
      <w:r>
        <w:rPr>
          <w:lang w:val="en-GB" w:eastAsia="en-GB" w:bidi="ar-SA"/>
        </w:rPr>
        <w:t>.  These</w:t>
      </w:r>
      <w:r w:rsidR="0018505E">
        <w:rPr>
          <w:lang w:val="en-GB" w:eastAsia="en-GB" w:bidi="ar-SA"/>
        </w:rPr>
        <w:t xml:space="preserve"> show the impact of charges and transaction costs for </w:t>
      </w:r>
      <w:r w:rsidR="000845D4">
        <w:rPr>
          <w:lang w:val="en-GB" w:eastAsia="en-GB" w:bidi="ar-SA"/>
        </w:rPr>
        <w:t xml:space="preserve">representative cross-sections of the membership and </w:t>
      </w:r>
      <w:r w:rsidR="0018505E">
        <w:rPr>
          <w:lang w:val="en-GB" w:eastAsia="en-GB" w:bidi="ar-SA"/>
        </w:rPr>
        <w:t xml:space="preserve">investment options.  </w:t>
      </w:r>
    </w:p>
    <w:p w14:paraId="1BCC3731" w14:textId="15BE7937" w:rsidR="002B7E60" w:rsidRPr="00847A5D" w:rsidRDefault="00496D95" w:rsidP="00142844">
      <w:pPr>
        <w:pStyle w:val="Heading2"/>
        <w:rPr>
          <w:rStyle w:val="legamendingtext"/>
          <w:rFonts w:eastAsiaTheme="minorHAnsi"/>
          <w:bCs w:val="0"/>
          <w:color w:val="auto"/>
          <w:sz w:val="20"/>
          <w:szCs w:val="20"/>
          <w:lang w:val="en-US"/>
        </w:rPr>
      </w:pPr>
      <w:r>
        <w:rPr>
          <w:rStyle w:val="legamendingtext"/>
        </w:rPr>
        <w:t>Parameters used for</w:t>
      </w:r>
      <w:r w:rsidR="002B7E60" w:rsidRPr="00847A5D">
        <w:rPr>
          <w:rStyle w:val="legamendingtext"/>
        </w:rPr>
        <w:t xml:space="preserve"> the </w:t>
      </w:r>
      <w:proofErr w:type="gramStart"/>
      <w:r w:rsidR="002B7E60" w:rsidRPr="00847A5D">
        <w:rPr>
          <w:rStyle w:val="legamendingtext"/>
        </w:rPr>
        <w:t>illustrations</w:t>
      </w:r>
      <w:proofErr w:type="gramEnd"/>
    </w:p>
    <w:p w14:paraId="425DE9CD" w14:textId="1C45909F" w:rsidR="005675AC" w:rsidRPr="00447141" w:rsidRDefault="009C7A2A" w:rsidP="006B4574">
      <w:pPr>
        <w:pStyle w:val="ListParagraph"/>
        <w:numPr>
          <w:ilvl w:val="1"/>
          <w:numId w:val="9"/>
        </w:numPr>
        <w:spacing w:before="120" w:after="120" w:line="264" w:lineRule="auto"/>
        <w:ind w:left="567" w:hanging="567"/>
        <w:contextualSpacing w:val="0"/>
        <w:jc w:val="both"/>
        <w:rPr>
          <w:lang w:val="en-GB" w:eastAsia="en-GB" w:bidi="ar-SA"/>
        </w:rPr>
      </w:pPr>
      <w:r w:rsidRPr="00447141">
        <w:rPr>
          <w:lang w:val="en-GB" w:eastAsia="en-GB" w:bidi="ar-SA"/>
        </w:rPr>
        <w:t>T</w:t>
      </w:r>
      <w:r w:rsidR="005675AC" w:rsidRPr="00447141">
        <w:rPr>
          <w:lang w:val="en-GB" w:eastAsia="en-GB" w:bidi="ar-SA"/>
        </w:rPr>
        <w:t>he membership of th</w:t>
      </w:r>
      <w:r w:rsidR="00496D95" w:rsidRPr="00447141">
        <w:rPr>
          <w:lang w:val="en-GB" w:eastAsia="en-GB" w:bidi="ar-SA"/>
        </w:rPr>
        <w:t xml:space="preserve">e </w:t>
      </w:r>
      <w:r w:rsidR="005675AC" w:rsidRPr="00447141">
        <w:rPr>
          <w:lang w:val="en-GB" w:eastAsia="en-GB" w:bidi="ar-SA"/>
        </w:rPr>
        <w:t xml:space="preserve">DC Section </w:t>
      </w:r>
      <w:r w:rsidR="000845D4" w:rsidRPr="00447141">
        <w:rPr>
          <w:lang w:val="en-GB" w:eastAsia="en-GB" w:bidi="ar-SA"/>
        </w:rPr>
        <w:t>and the investment options offered were</w:t>
      </w:r>
      <w:r w:rsidR="00496D95" w:rsidRPr="00447141">
        <w:rPr>
          <w:lang w:val="en-GB" w:eastAsia="en-GB" w:bidi="ar-SA"/>
        </w:rPr>
        <w:t xml:space="preserve"> analysed</w:t>
      </w:r>
      <w:r w:rsidRPr="00447141">
        <w:rPr>
          <w:lang w:val="en-GB" w:eastAsia="en-GB" w:bidi="ar-SA"/>
        </w:rPr>
        <w:t xml:space="preserve"> in determining the parameters to be used.</w:t>
      </w:r>
    </w:p>
    <w:p w14:paraId="50B69655" w14:textId="6F1311A6" w:rsidR="00AD0292" w:rsidRPr="00447141" w:rsidRDefault="00AD0292" w:rsidP="006B4574">
      <w:pPr>
        <w:pStyle w:val="ListParagraph"/>
        <w:numPr>
          <w:ilvl w:val="1"/>
          <w:numId w:val="9"/>
        </w:numPr>
        <w:spacing w:before="120" w:after="120" w:line="264" w:lineRule="auto"/>
        <w:ind w:left="567" w:hanging="567"/>
        <w:contextualSpacing w:val="0"/>
        <w:jc w:val="both"/>
        <w:rPr>
          <w:lang w:val="en-GB" w:eastAsia="en-GB" w:bidi="ar-SA"/>
        </w:rPr>
      </w:pPr>
      <w:r w:rsidRPr="00447141">
        <w:rPr>
          <w:lang w:val="en-GB" w:eastAsia="en-GB" w:bidi="ar-SA"/>
        </w:rPr>
        <w:t>P</w:t>
      </w:r>
      <w:r w:rsidR="00496D95" w:rsidRPr="00447141">
        <w:rPr>
          <w:lang w:val="en-GB" w:eastAsia="en-GB" w:bidi="ar-SA"/>
        </w:rPr>
        <w:t>ot size: pot sizes of £</w:t>
      </w:r>
      <w:r w:rsidR="00BC1EB4">
        <w:rPr>
          <w:lang w:val="en-GB" w:eastAsia="en-GB" w:bidi="ar-SA"/>
        </w:rPr>
        <w:t>1</w:t>
      </w:r>
      <w:r w:rsidR="004D2925">
        <w:rPr>
          <w:lang w:val="en-GB" w:eastAsia="en-GB" w:bidi="ar-SA"/>
        </w:rPr>
        <w:t>7</w:t>
      </w:r>
      <w:r w:rsidR="00424DE3">
        <w:rPr>
          <w:lang w:val="en-GB" w:eastAsia="en-GB" w:bidi="ar-SA"/>
        </w:rPr>
        <w:t>,0</w:t>
      </w:r>
      <w:r w:rsidR="00496D95" w:rsidRPr="00447141">
        <w:rPr>
          <w:lang w:val="en-GB" w:eastAsia="en-GB" w:bidi="ar-SA"/>
        </w:rPr>
        <w:t xml:space="preserve">00, </w:t>
      </w:r>
      <w:proofErr w:type="gramStart"/>
      <w:r w:rsidR="00496D95" w:rsidRPr="00447141">
        <w:rPr>
          <w:lang w:val="en-GB" w:eastAsia="en-GB" w:bidi="ar-SA"/>
        </w:rPr>
        <w:t>£</w:t>
      </w:r>
      <w:r w:rsidR="004D2925">
        <w:rPr>
          <w:lang w:val="en-GB" w:eastAsia="en-GB" w:bidi="ar-SA"/>
        </w:rPr>
        <w:t>49</w:t>
      </w:r>
      <w:r w:rsidR="00424DE3">
        <w:rPr>
          <w:lang w:val="en-GB" w:eastAsia="en-GB" w:bidi="ar-SA"/>
        </w:rPr>
        <w:t>,</w:t>
      </w:r>
      <w:r w:rsidR="00BC1EB4">
        <w:rPr>
          <w:lang w:val="en-GB" w:eastAsia="en-GB" w:bidi="ar-SA"/>
        </w:rPr>
        <w:t>0</w:t>
      </w:r>
      <w:r w:rsidR="00BC1EB4" w:rsidRPr="00447141">
        <w:rPr>
          <w:lang w:val="en-GB" w:eastAsia="en-GB" w:bidi="ar-SA"/>
        </w:rPr>
        <w:t>00</w:t>
      </w:r>
      <w:proofErr w:type="gramEnd"/>
      <w:r w:rsidR="00BC1EB4" w:rsidRPr="00447141">
        <w:rPr>
          <w:lang w:val="en-GB" w:eastAsia="en-GB" w:bidi="ar-SA"/>
        </w:rPr>
        <w:t xml:space="preserve"> </w:t>
      </w:r>
      <w:r w:rsidR="00496D95" w:rsidRPr="00447141">
        <w:rPr>
          <w:lang w:val="en-GB" w:eastAsia="en-GB" w:bidi="ar-SA"/>
        </w:rPr>
        <w:t>and £</w:t>
      </w:r>
      <w:r w:rsidR="00BC1EB4">
        <w:rPr>
          <w:lang w:val="en-GB" w:eastAsia="en-GB" w:bidi="ar-SA"/>
        </w:rPr>
        <w:t>10</w:t>
      </w:r>
      <w:r w:rsidR="004D2925">
        <w:rPr>
          <w:lang w:val="en-GB" w:eastAsia="en-GB" w:bidi="ar-SA"/>
        </w:rPr>
        <w:t>7</w:t>
      </w:r>
      <w:r w:rsidR="00424DE3">
        <w:rPr>
          <w:lang w:val="en-GB" w:eastAsia="en-GB" w:bidi="ar-SA"/>
        </w:rPr>
        <w:t>,</w:t>
      </w:r>
      <w:r w:rsidR="00BC1EB4">
        <w:rPr>
          <w:lang w:val="en-GB" w:eastAsia="en-GB" w:bidi="ar-SA"/>
        </w:rPr>
        <w:t>0</w:t>
      </w:r>
      <w:r w:rsidR="00BC1EB4" w:rsidRPr="00447141">
        <w:rPr>
          <w:lang w:val="en-GB" w:eastAsia="en-GB" w:bidi="ar-SA"/>
        </w:rPr>
        <w:t xml:space="preserve">00 </w:t>
      </w:r>
      <w:r w:rsidR="00496D95" w:rsidRPr="00447141">
        <w:rPr>
          <w:lang w:val="en-GB" w:eastAsia="en-GB" w:bidi="ar-SA"/>
        </w:rPr>
        <w:t>have been used</w:t>
      </w:r>
      <w:r w:rsidRPr="00447141">
        <w:rPr>
          <w:lang w:val="en-GB" w:eastAsia="en-GB" w:bidi="ar-SA"/>
        </w:rPr>
        <w:t>;</w:t>
      </w:r>
      <w:r w:rsidR="00496D95" w:rsidRPr="00447141">
        <w:rPr>
          <w:lang w:val="en-GB" w:eastAsia="en-GB" w:bidi="ar-SA"/>
        </w:rPr>
        <w:t xml:space="preserve"> these represent the 25</w:t>
      </w:r>
      <w:r w:rsidR="00496D95" w:rsidRPr="00447141">
        <w:rPr>
          <w:vertAlign w:val="superscript"/>
          <w:lang w:val="en-GB" w:eastAsia="en-GB" w:bidi="ar-SA"/>
        </w:rPr>
        <w:t>th</w:t>
      </w:r>
      <w:r w:rsidR="00496D95" w:rsidRPr="00447141">
        <w:rPr>
          <w:lang w:val="en-GB" w:eastAsia="en-GB" w:bidi="ar-SA"/>
        </w:rPr>
        <w:t xml:space="preserve"> percentile, the median and </w:t>
      </w:r>
      <w:r w:rsidRPr="00447141">
        <w:rPr>
          <w:lang w:val="en-GB" w:eastAsia="en-GB" w:bidi="ar-SA"/>
        </w:rPr>
        <w:t xml:space="preserve">the </w:t>
      </w:r>
      <w:r w:rsidR="00496D95" w:rsidRPr="00447141">
        <w:rPr>
          <w:lang w:val="en-GB" w:eastAsia="en-GB" w:bidi="ar-SA"/>
        </w:rPr>
        <w:t>75</w:t>
      </w:r>
      <w:r w:rsidR="00496D95" w:rsidRPr="00447141">
        <w:rPr>
          <w:vertAlign w:val="superscript"/>
          <w:lang w:val="en-GB" w:eastAsia="en-GB" w:bidi="ar-SA"/>
        </w:rPr>
        <w:t>th</w:t>
      </w:r>
      <w:r w:rsidR="00496D95" w:rsidRPr="00447141">
        <w:rPr>
          <w:lang w:val="en-GB" w:eastAsia="en-GB" w:bidi="ar-SA"/>
        </w:rPr>
        <w:t xml:space="preserve"> percentile of pot values (rounded to the nearest £500) of DC Section members.  </w:t>
      </w:r>
    </w:p>
    <w:p w14:paraId="239757A6" w14:textId="0E82D32B" w:rsidR="002B7E60" w:rsidRPr="00447141" w:rsidRDefault="00424DE3" w:rsidP="006B4574">
      <w:pPr>
        <w:pStyle w:val="ListParagraph"/>
        <w:numPr>
          <w:ilvl w:val="1"/>
          <w:numId w:val="9"/>
        </w:numPr>
        <w:spacing w:before="120" w:after="120" w:line="264" w:lineRule="auto"/>
        <w:ind w:left="567" w:hanging="567"/>
        <w:contextualSpacing w:val="0"/>
        <w:jc w:val="both"/>
        <w:rPr>
          <w:lang w:val="en-GB" w:eastAsia="en-GB" w:bidi="ar-SA"/>
        </w:rPr>
      </w:pPr>
      <w:r>
        <w:rPr>
          <w:lang w:val="en-GB" w:eastAsia="en-GB" w:bidi="ar-SA"/>
        </w:rPr>
        <w:t>I</w:t>
      </w:r>
      <w:r w:rsidRPr="00447141">
        <w:rPr>
          <w:lang w:val="en-GB" w:eastAsia="en-GB" w:bidi="ar-SA"/>
        </w:rPr>
        <w:t>llustrations</w:t>
      </w:r>
      <w:r w:rsidR="00AD0292" w:rsidRPr="00447141">
        <w:rPr>
          <w:lang w:val="en-GB" w:eastAsia="en-GB" w:bidi="ar-SA"/>
        </w:rPr>
        <w:t xml:space="preserve"> have been provided </w:t>
      </w:r>
      <w:r w:rsidR="00722F7C">
        <w:rPr>
          <w:lang w:val="en-GB" w:eastAsia="en-GB" w:bidi="ar-SA"/>
        </w:rPr>
        <w:t xml:space="preserve">for active members </w:t>
      </w:r>
      <w:r w:rsidR="00AD0292" w:rsidRPr="00447141">
        <w:rPr>
          <w:lang w:val="en-GB" w:eastAsia="en-GB" w:bidi="ar-SA"/>
        </w:rPr>
        <w:t xml:space="preserve">assuming total regular contributions of </w:t>
      </w:r>
      <w:r>
        <w:rPr>
          <w:lang w:val="en-GB" w:eastAsia="en-GB" w:bidi="ar-SA"/>
        </w:rPr>
        <w:t>27</w:t>
      </w:r>
      <w:r w:rsidR="00AD0292" w:rsidRPr="00447141">
        <w:rPr>
          <w:lang w:val="en-GB" w:eastAsia="en-GB" w:bidi="ar-SA"/>
        </w:rPr>
        <w:t>%</w:t>
      </w:r>
      <w:r w:rsidR="004D2925">
        <w:rPr>
          <w:lang w:val="en-GB" w:eastAsia="en-GB" w:bidi="ar-SA"/>
        </w:rPr>
        <w:t>.</w:t>
      </w:r>
      <w:r w:rsidR="00AD0292" w:rsidRPr="00447141">
        <w:rPr>
          <w:lang w:val="en-GB" w:eastAsia="en-GB" w:bidi="ar-SA"/>
        </w:rPr>
        <w:t xml:space="preserve"> </w:t>
      </w:r>
    </w:p>
    <w:p w14:paraId="43DCF0C6" w14:textId="4BEBD0F7" w:rsidR="00AD0292" w:rsidRPr="00447141" w:rsidRDefault="005A167C" w:rsidP="006B4574">
      <w:pPr>
        <w:pStyle w:val="ListParagraph"/>
        <w:numPr>
          <w:ilvl w:val="1"/>
          <w:numId w:val="9"/>
        </w:numPr>
        <w:spacing w:before="120" w:after="120" w:line="264" w:lineRule="auto"/>
        <w:ind w:left="567" w:hanging="567"/>
        <w:contextualSpacing w:val="0"/>
        <w:jc w:val="both"/>
        <w:rPr>
          <w:lang w:val="en-GB" w:eastAsia="en-GB" w:bidi="ar-SA"/>
        </w:rPr>
      </w:pPr>
      <w:r w:rsidRPr="00447141">
        <w:rPr>
          <w:lang w:val="en-GB" w:eastAsia="en-GB" w:bidi="ar-SA"/>
        </w:rPr>
        <w:t>Pensionable s</w:t>
      </w:r>
      <w:r w:rsidR="00AD0292" w:rsidRPr="00447141">
        <w:rPr>
          <w:lang w:val="en-GB" w:eastAsia="en-GB" w:bidi="ar-SA"/>
        </w:rPr>
        <w:t xml:space="preserve">alary: a starting </w:t>
      </w:r>
      <w:r w:rsidRPr="00447141">
        <w:rPr>
          <w:lang w:val="en-GB" w:eastAsia="en-GB" w:bidi="ar-SA"/>
        </w:rPr>
        <w:t xml:space="preserve">pensionable </w:t>
      </w:r>
      <w:r w:rsidR="00AD0292" w:rsidRPr="00447141">
        <w:rPr>
          <w:lang w:val="en-GB" w:eastAsia="en-GB" w:bidi="ar-SA"/>
        </w:rPr>
        <w:t>salary of £</w:t>
      </w:r>
      <w:r w:rsidR="00424DE3">
        <w:rPr>
          <w:lang w:val="en-GB" w:eastAsia="en-GB" w:bidi="ar-SA"/>
        </w:rPr>
        <w:t>5</w:t>
      </w:r>
      <w:r w:rsidR="004D2925">
        <w:rPr>
          <w:lang w:val="en-GB" w:eastAsia="en-GB" w:bidi="ar-SA"/>
        </w:rPr>
        <w:t>9</w:t>
      </w:r>
      <w:r w:rsidR="00AD0292" w:rsidRPr="00447141">
        <w:rPr>
          <w:lang w:val="en-GB" w:eastAsia="en-GB" w:bidi="ar-SA"/>
        </w:rPr>
        <w:t>,000 has been used as this represents the median (rounded to the nearest £</w:t>
      </w:r>
      <w:r w:rsidR="00424DE3">
        <w:rPr>
          <w:lang w:val="en-GB" w:eastAsia="en-GB" w:bidi="ar-SA"/>
        </w:rPr>
        <w:t>1,0</w:t>
      </w:r>
      <w:r w:rsidR="00AD0292" w:rsidRPr="00447141">
        <w:rPr>
          <w:lang w:val="en-GB" w:eastAsia="en-GB" w:bidi="ar-SA"/>
        </w:rPr>
        <w:t xml:space="preserve">00) of active DC Section members.  </w:t>
      </w:r>
      <w:r w:rsidRPr="00447141">
        <w:rPr>
          <w:lang w:val="en-GB" w:eastAsia="en-GB" w:bidi="ar-SA"/>
        </w:rPr>
        <w:t>Pensionable s</w:t>
      </w:r>
      <w:r w:rsidR="005871F2" w:rsidRPr="00447141">
        <w:rPr>
          <w:rStyle w:val="legamendingtext"/>
          <w:rFonts w:cs="Segoe UI"/>
        </w:rPr>
        <w:t xml:space="preserve">alary is assumed to grow at </w:t>
      </w:r>
      <w:r w:rsidR="00424DE3">
        <w:rPr>
          <w:rStyle w:val="legamendingtext"/>
          <w:rFonts w:cs="Segoe UI"/>
        </w:rPr>
        <w:t>3</w:t>
      </w:r>
      <w:r w:rsidR="005871F2" w:rsidRPr="00447141">
        <w:rPr>
          <w:rStyle w:val="legamendingtext"/>
          <w:rFonts w:cs="Segoe UI"/>
        </w:rPr>
        <w:t>.5% per year.</w:t>
      </w:r>
    </w:p>
    <w:p w14:paraId="62DF3B22" w14:textId="30BC8459" w:rsidR="00AD0292" w:rsidRPr="00447141" w:rsidRDefault="00AD0292" w:rsidP="006B4574">
      <w:pPr>
        <w:pStyle w:val="ListParagraph"/>
        <w:numPr>
          <w:ilvl w:val="1"/>
          <w:numId w:val="9"/>
        </w:numPr>
        <w:spacing w:before="120" w:after="120" w:line="264" w:lineRule="auto"/>
        <w:ind w:left="567" w:hanging="567"/>
        <w:contextualSpacing w:val="0"/>
        <w:jc w:val="both"/>
        <w:rPr>
          <w:lang w:val="en-GB" w:eastAsia="en-GB" w:bidi="ar-SA"/>
        </w:rPr>
      </w:pPr>
      <w:r w:rsidRPr="00447141">
        <w:rPr>
          <w:lang w:val="en-GB" w:eastAsia="en-GB" w:bidi="ar-SA"/>
        </w:rPr>
        <w:t xml:space="preserve">Timeframe: the illustrations are shown over a </w:t>
      </w:r>
      <w:r w:rsidR="006B0D6F">
        <w:rPr>
          <w:lang w:val="en-GB" w:eastAsia="en-GB" w:bidi="ar-SA"/>
        </w:rPr>
        <w:t>4</w:t>
      </w:r>
      <w:r w:rsidR="004D2925">
        <w:rPr>
          <w:lang w:val="en-GB" w:eastAsia="en-GB" w:bidi="ar-SA"/>
        </w:rPr>
        <w:t>9</w:t>
      </w:r>
      <w:r w:rsidR="006B0D6F">
        <w:rPr>
          <w:lang w:val="en-GB" w:eastAsia="en-GB" w:bidi="ar-SA"/>
        </w:rPr>
        <w:t>-year</w:t>
      </w:r>
      <w:r w:rsidRPr="00447141">
        <w:rPr>
          <w:lang w:val="en-GB" w:eastAsia="en-GB" w:bidi="ar-SA"/>
        </w:rPr>
        <w:t xml:space="preserve"> time frame as this covers the </w:t>
      </w:r>
      <w:r w:rsidR="00BD26E9">
        <w:rPr>
          <w:lang w:val="en-GB" w:eastAsia="en-GB" w:bidi="ar-SA"/>
        </w:rPr>
        <w:t xml:space="preserve">approximate </w:t>
      </w:r>
      <w:r w:rsidRPr="00447141">
        <w:rPr>
          <w:lang w:val="en-GB" w:eastAsia="en-GB" w:bidi="ar-SA"/>
        </w:rPr>
        <w:t>duration that the youngest member would take to reach retirement age.</w:t>
      </w:r>
    </w:p>
    <w:p w14:paraId="7FB22FA5" w14:textId="4511BFC9" w:rsidR="0022402C" w:rsidRPr="00447141" w:rsidRDefault="0022402C" w:rsidP="00F57CA9">
      <w:pPr>
        <w:pStyle w:val="ListParagraph"/>
        <w:spacing w:before="120" w:after="240" w:line="264" w:lineRule="auto"/>
        <w:ind w:left="567"/>
        <w:contextualSpacing w:val="0"/>
        <w:jc w:val="both"/>
        <w:rPr>
          <w:rStyle w:val="legamendingtext"/>
          <w:rFonts w:cs="Segoe UI"/>
          <w:lang w:val="en-GB" w:eastAsia="en-GB" w:bidi="ar-SA"/>
        </w:rPr>
      </w:pPr>
    </w:p>
    <w:p w14:paraId="0BB6F1C0" w14:textId="227A3092" w:rsidR="000941DF" w:rsidRPr="00FD3F55" w:rsidRDefault="005871F2" w:rsidP="000941DF">
      <w:pPr>
        <w:pStyle w:val="Heading3"/>
        <w:rPr>
          <w:rStyle w:val="legamendingtext"/>
          <w:color w:val="009FE3" w:themeColor="background2"/>
        </w:rPr>
      </w:pPr>
      <w:r w:rsidRPr="00FD3F55">
        <w:rPr>
          <w:rStyle w:val="legamendingtext"/>
          <w:color w:val="009FE3" w:themeColor="background2"/>
        </w:rPr>
        <w:t>Guidance</w:t>
      </w:r>
      <w:r w:rsidR="000941DF" w:rsidRPr="00FD3F55">
        <w:rPr>
          <w:rStyle w:val="legamendingtext"/>
          <w:color w:val="009FE3" w:themeColor="background2"/>
        </w:rPr>
        <w:t xml:space="preserve"> to the illustrations</w:t>
      </w:r>
    </w:p>
    <w:p w14:paraId="5FE80068" w14:textId="53D9A407" w:rsidR="00496D95" w:rsidRPr="00447141" w:rsidRDefault="00496D95" w:rsidP="006B4574">
      <w:pPr>
        <w:pStyle w:val="ListParagraph"/>
        <w:numPr>
          <w:ilvl w:val="1"/>
          <w:numId w:val="9"/>
        </w:numPr>
        <w:spacing w:before="120" w:after="120" w:line="264" w:lineRule="auto"/>
        <w:ind w:left="567" w:hanging="567"/>
        <w:contextualSpacing w:val="0"/>
        <w:jc w:val="both"/>
        <w:rPr>
          <w:rStyle w:val="legamendingtext"/>
          <w:rFonts w:cs="Segoe UI"/>
          <w:lang w:val="en-GB" w:eastAsia="en-GB" w:bidi="ar-SA"/>
        </w:rPr>
      </w:pPr>
      <w:r w:rsidRPr="00447141">
        <w:rPr>
          <w:lang w:val="en-GB" w:eastAsia="en-GB" w:bidi="ar-SA"/>
        </w:rPr>
        <w:t xml:space="preserve">For each illustration, </w:t>
      </w:r>
      <w:r w:rsidR="005871F2" w:rsidRPr="00447141">
        <w:rPr>
          <w:lang w:val="en-GB" w:eastAsia="en-GB" w:bidi="ar-SA"/>
        </w:rPr>
        <w:t>the</w:t>
      </w:r>
      <w:r w:rsidRPr="00447141">
        <w:rPr>
          <w:lang w:val="en-GB" w:eastAsia="en-GB" w:bidi="ar-SA"/>
        </w:rPr>
        <w:t xml:space="preserve"> savings pot has been projected twice: </w:t>
      </w:r>
      <w:proofErr w:type="gramStart"/>
      <w:r w:rsidRPr="00447141">
        <w:rPr>
          <w:lang w:val="en-GB" w:eastAsia="en-GB" w:bidi="ar-SA"/>
        </w:rPr>
        <w:t>firstly</w:t>
      </w:r>
      <w:proofErr w:type="gramEnd"/>
      <w:r w:rsidRPr="00447141">
        <w:rPr>
          <w:lang w:val="en-GB" w:eastAsia="en-GB" w:bidi="ar-SA"/>
        </w:rPr>
        <w:t xml:space="preserve"> for the assumed investment return gross of costs and charges; and secondly for the assumed investment return net of costs and charges.</w:t>
      </w:r>
    </w:p>
    <w:p w14:paraId="0E356979" w14:textId="403F75FD" w:rsidR="002B7E60" w:rsidRPr="00FE2F16" w:rsidRDefault="001D0297" w:rsidP="006B4574">
      <w:pPr>
        <w:pStyle w:val="ListParagraph"/>
        <w:numPr>
          <w:ilvl w:val="1"/>
          <w:numId w:val="9"/>
        </w:numPr>
        <w:spacing w:before="120" w:after="120" w:line="264" w:lineRule="auto"/>
        <w:ind w:left="567" w:hanging="567"/>
        <w:contextualSpacing w:val="0"/>
        <w:jc w:val="both"/>
        <w:rPr>
          <w:rStyle w:val="legamendingtext"/>
          <w:rFonts w:cs="Segoe UI"/>
          <w:lang w:val="en-GB" w:eastAsia="en-GB" w:bidi="ar-SA"/>
        </w:rPr>
      </w:pPr>
      <w:r w:rsidRPr="00447141">
        <w:rPr>
          <w:rStyle w:val="legamendingtext"/>
          <w:rFonts w:cs="Segoe UI"/>
        </w:rPr>
        <w:t>Projected pot sizes are shown in today’s terms, so do not need to be reduced further for the effects of future inflation.  Inflation is assumed to remain constant throughout the term of the illustrations, at 2.</w:t>
      </w:r>
      <w:r w:rsidR="00BD26E9">
        <w:rPr>
          <w:rStyle w:val="legamendingtext"/>
          <w:rFonts w:cs="Segoe UI"/>
        </w:rPr>
        <w:t>0</w:t>
      </w:r>
      <w:r w:rsidRPr="00447141">
        <w:rPr>
          <w:rStyle w:val="legamendingtext"/>
          <w:rFonts w:cs="Segoe UI"/>
        </w:rPr>
        <w:t xml:space="preserve">% per year. </w:t>
      </w:r>
    </w:p>
    <w:p w14:paraId="23FD7EC3" w14:textId="77777777" w:rsidR="00722F7C" w:rsidRPr="00EB45CE" w:rsidRDefault="00722F7C" w:rsidP="00722F7C">
      <w:pPr>
        <w:pStyle w:val="ListParagraph"/>
        <w:numPr>
          <w:ilvl w:val="1"/>
          <w:numId w:val="9"/>
        </w:numPr>
        <w:spacing w:before="120" w:after="120" w:line="264" w:lineRule="auto"/>
        <w:ind w:left="567" w:hanging="567"/>
        <w:contextualSpacing w:val="0"/>
        <w:jc w:val="both"/>
        <w:rPr>
          <w:rFonts w:cs="Segoe UI"/>
          <w:lang w:val="en-GB" w:eastAsia="en-GB" w:bidi="ar-SA"/>
        </w:rPr>
      </w:pPr>
      <w:r w:rsidRPr="00BE5C64">
        <w:rPr>
          <w:rFonts w:cs="Segoe UI"/>
        </w:rPr>
        <w:t xml:space="preserve">The </w:t>
      </w:r>
      <w:r w:rsidRPr="00365477">
        <w:rPr>
          <w:rFonts w:cs="Segoe UI"/>
        </w:rPr>
        <w:t xml:space="preserve">real-terms </w:t>
      </w:r>
      <w:r w:rsidRPr="00BE5C64">
        <w:rPr>
          <w:rFonts w:cs="Segoe UI"/>
        </w:rPr>
        <w:t>rates of growth used in the illustrations are calculated by reference to the Financial Reporting Council’s AS TM1.</w:t>
      </w:r>
    </w:p>
    <w:p w14:paraId="3D84737A" w14:textId="05DD3BBD" w:rsidR="00722F7C" w:rsidRPr="00FE2F16" w:rsidRDefault="00722F7C" w:rsidP="00722F7C">
      <w:pPr>
        <w:pStyle w:val="ListParagraph"/>
        <w:numPr>
          <w:ilvl w:val="1"/>
          <w:numId w:val="9"/>
        </w:numPr>
        <w:spacing w:before="120" w:after="120" w:line="264" w:lineRule="auto"/>
        <w:ind w:left="567" w:hanging="567"/>
        <w:contextualSpacing w:val="0"/>
        <w:jc w:val="both"/>
        <w:rPr>
          <w:rFonts w:cs="Segoe UI"/>
          <w:lang w:val="en-GB" w:eastAsia="en-GB" w:bidi="ar-SA"/>
        </w:rPr>
      </w:pPr>
      <w:r w:rsidRPr="0039731D">
        <w:t>The projected growth rates</w:t>
      </w:r>
      <w:r>
        <w:t xml:space="preserve"> (gross, </w:t>
      </w:r>
      <w:proofErr w:type="gramStart"/>
      <w:r>
        <w:t>i.e.</w:t>
      </w:r>
      <w:proofErr w:type="gramEnd"/>
      <w:r>
        <w:t xml:space="preserve"> before inflation)</w:t>
      </w:r>
      <w:r w:rsidRPr="0039731D">
        <w:t xml:space="preserve"> </w:t>
      </w:r>
      <w:r>
        <w:t>and costs and charges used</w:t>
      </w:r>
      <w:r w:rsidRPr="0039731D">
        <w:t xml:space="preserve"> are as follows:</w:t>
      </w:r>
    </w:p>
    <w:tbl>
      <w:tblPr>
        <w:tblStyle w:val="bwTable"/>
        <w:tblW w:w="92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8"/>
        <w:gridCol w:w="2552"/>
        <w:gridCol w:w="1493"/>
        <w:gridCol w:w="1493"/>
        <w:gridCol w:w="1493"/>
      </w:tblGrid>
      <w:tr w:rsidR="00722F7C" w:rsidRPr="00447141" w14:paraId="4106C4B1" w14:textId="77777777" w:rsidTr="00B140E5">
        <w:trPr>
          <w:cnfStyle w:val="100000000000" w:firstRow="1" w:lastRow="0" w:firstColumn="0" w:lastColumn="0" w:oddVBand="0" w:evenVBand="0" w:oddHBand="0" w:evenHBand="0" w:firstRowFirstColumn="0" w:firstRowLastColumn="0" w:lastRowFirstColumn="0" w:lastRowLastColumn="0"/>
          <w:trHeight w:val="209"/>
        </w:trPr>
        <w:tc>
          <w:tcPr>
            <w:tcW w:w="2268" w:type="dxa"/>
            <w:tcBorders>
              <w:top w:val="single" w:sz="4" w:space="0" w:color="009FE3"/>
              <w:bottom w:val="single" w:sz="4" w:space="0" w:color="009FE3"/>
            </w:tcBorders>
            <w:shd w:val="clear" w:color="auto" w:fill="auto"/>
          </w:tcPr>
          <w:p w14:paraId="20E36067" w14:textId="77777777" w:rsidR="00722F7C" w:rsidRPr="00447141" w:rsidRDefault="00722F7C" w:rsidP="00722F7C">
            <w:pPr>
              <w:pStyle w:val="NoSpacing"/>
              <w:numPr>
                <w:ilvl w:val="0"/>
                <w:numId w:val="9"/>
              </w:numPr>
              <w:rPr>
                <w:rFonts w:cs="Segoe UI"/>
                <w:b/>
                <w:color w:val="009FE3"/>
                <w:sz w:val="18"/>
                <w:szCs w:val="18"/>
              </w:rPr>
            </w:pPr>
            <w:r w:rsidRPr="00447141">
              <w:rPr>
                <w:rFonts w:cs="Segoe UI"/>
                <w:color w:val="009FE3"/>
                <w:sz w:val="18"/>
                <w:szCs w:val="18"/>
              </w:rPr>
              <w:t>Investment option</w:t>
            </w:r>
          </w:p>
        </w:tc>
        <w:tc>
          <w:tcPr>
            <w:tcW w:w="2552" w:type="dxa"/>
            <w:tcBorders>
              <w:top w:val="single" w:sz="4" w:space="0" w:color="009FE3"/>
              <w:bottom w:val="single" w:sz="4" w:space="0" w:color="009FE3"/>
            </w:tcBorders>
          </w:tcPr>
          <w:p w14:paraId="4DF62642" w14:textId="77777777" w:rsidR="00722F7C" w:rsidRPr="00447141" w:rsidRDefault="00722F7C" w:rsidP="00B140E5">
            <w:pPr>
              <w:pStyle w:val="NoSpacing"/>
              <w:jc w:val="center"/>
              <w:rPr>
                <w:rFonts w:cs="Segoe UI"/>
                <w:color w:val="009FE3"/>
                <w:sz w:val="18"/>
                <w:szCs w:val="18"/>
              </w:rPr>
            </w:pPr>
            <w:r w:rsidRPr="00447141">
              <w:rPr>
                <w:rFonts w:cs="Segoe UI"/>
                <w:color w:val="009FE3"/>
                <w:sz w:val="18"/>
                <w:szCs w:val="18"/>
              </w:rPr>
              <w:t>Rationale for inclusion</w:t>
            </w:r>
          </w:p>
        </w:tc>
        <w:tc>
          <w:tcPr>
            <w:tcW w:w="1493" w:type="dxa"/>
            <w:tcBorders>
              <w:top w:val="single" w:sz="4" w:space="0" w:color="009FE3"/>
              <w:bottom w:val="single" w:sz="4" w:space="0" w:color="009FE3"/>
            </w:tcBorders>
            <w:shd w:val="clear" w:color="auto" w:fill="auto"/>
          </w:tcPr>
          <w:p w14:paraId="77269FD2" w14:textId="77777777" w:rsidR="00722F7C" w:rsidRPr="00447141" w:rsidRDefault="00722F7C" w:rsidP="00B140E5">
            <w:pPr>
              <w:pStyle w:val="NoSpacing"/>
              <w:jc w:val="center"/>
              <w:rPr>
                <w:rFonts w:cs="Segoe UI"/>
                <w:b/>
                <w:color w:val="009FE3"/>
                <w:sz w:val="18"/>
                <w:szCs w:val="18"/>
              </w:rPr>
            </w:pPr>
            <w:r w:rsidRPr="00447141">
              <w:rPr>
                <w:rFonts w:cs="Segoe UI"/>
                <w:color w:val="009FE3"/>
                <w:sz w:val="18"/>
                <w:szCs w:val="18"/>
              </w:rPr>
              <w:t>Assumed return above inflation*</w:t>
            </w:r>
          </w:p>
        </w:tc>
        <w:tc>
          <w:tcPr>
            <w:tcW w:w="1493" w:type="dxa"/>
            <w:tcBorders>
              <w:top w:val="single" w:sz="4" w:space="0" w:color="009FE3"/>
              <w:bottom w:val="single" w:sz="4" w:space="0" w:color="009FE3"/>
            </w:tcBorders>
          </w:tcPr>
          <w:p w14:paraId="1FCE2012" w14:textId="77777777" w:rsidR="00722F7C" w:rsidRPr="00447141" w:rsidRDefault="00722F7C" w:rsidP="00B140E5">
            <w:pPr>
              <w:pStyle w:val="NoSpacing"/>
              <w:jc w:val="center"/>
              <w:rPr>
                <w:rFonts w:cs="Segoe UI"/>
                <w:color w:val="009FE3"/>
                <w:sz w:val="18"/>
                <w:szCs w:val="18"/>
              </w:rPr>
            </w:pPr>
            <w:r w:rsidRPr="00447141">
              <w:rPr>
                <w:rFonts w:cs="Segoe UI"/>
                <w:color w:val="009FE3"/>
                <w:sz w:val="18"/>
                <w:szCs w:val="18"/>
              </w:rPr>
              <w:t>TER</w:t>
            </w:r>
          </w:p>
        </w:tc>
        <w:tc>
          <w:tcPr>
            <w:tcW w:w="1493" w:type="dxa"/>
            <w:tcBorders>
              <w:top w:val="single" w:sz="4" w:space="0" w:color="009FE3"/>
              <w:bottom w:val="single" w:sz="4" w:space="0" w:color="009FE3"/>
            </w:tcBorders>
          </w:tcPr>
          <w:p w14:paraId="41B111DB" w14:textId="77777777" w:rsidR="00722F7C" w:rsidRPr="00447141" w:rsidRDefault="00722F7C" w:rsidP="00B140E5">
            <w:pPr>
              <w:pStyle w:val="NoSpacing"/>
              <w:jc w:val="center"/>
              <w:rPr>
                <w:rFonts w:cs="Segoe UI"/>
                <w:color w:val="009FE3"/>
                <w:sz w:val="18"/>
                <w:szCs w:val="18"/>
              </w:rPr>
            </w:pPr>
            <w:r w:rsidRPr="00447141">
              <w:rPr>
                <w:rFonts w:cs="Segoe UI"/>
                <w:color w:val="009FE3"/>
                <w:sz w:val="18"/>
                <w:szCs w:val="18"/>
              </w:rPr>
              <w:t>Transaction cost**</w:t>
            </w:r>
          </w:p>
        </w:tc>
      </w:tr>
      <w:tr w:rsidR="00FE2F16" w:rsidRPr="00447141" w14:paraId="57FDA1A8" w14:textId="77777777" w:rsidTr="00FE2F16">
        <w:trPr>
          <w:cnfStyle w:val="000000100000" w:firstRow="0" w:lastRow="0" w:firstColumn="0" w:lastColumn="0" w:oddVBand="0" w:evenVBand="0" w:oddHBand="1" w:evenHBand="0" w:firstRowFirstColumn="0" w:firstRowLastColumn="0" w:lastRowFirstColumn="0" w:lastRowLastColumn="0"/>
          <w:trHeight w:val="218"/>
        </w:trPr>
        <w:tc>
          <w:tcPr>
            <w:tcW w:w="0" w:type="dxa"/>
            <w:tcBorders>
              <w:top w:val="single" w:sz="4" w:space="0" w:color="009FE3"/>
              <w:bottom w:val="single" w:sz="4" w:space="0" w:color="C0C0C0"/>
            </w:tcBorders>
            <w:shd w:val="clear" w:color="auto" w:fill="auto"/>
          </w:tcPr>
          <w:p w14:paraId="3BB494BD" w14:textId="77777777" w:rsidR="007F42AD" w:rsidRPr="00447141" w:rsidRDefault="007F42AD" w:rsidP="007F42AD">
            <w:pPr>
              <w:pStyle w:val="bwTableText"/>
              <w:keepNext w:val="0"/>
              <w:rPr>
                <w:rFonts w:cs="Segoe UI"/>
                <w:sz w:val="18"/>
                <w:szCs w:val="18"/>
              </w:rPr>
            </w:pPr>
            <w:r>
              <w:rPr>
                <w:rFonts w:cs="Segoe UI"/>
                <w:sz w:val="18"/>
                <w:szCs w:val="18"/>
              </w:rPr>
              <w:t>Urenco Drawdown Path</w:t>
            </w:r>
          </w:p>
        </w:tc>
        <w:tc>
          <w:tcPr>
            <w:tcW w:w="0" w:type="dxa"/>
            <w:tcBorders>
              <w:top w:val="single" w:sz="4" w:space="0" w:color="009FE3"/>
              <w:bottom w:val="single" w:sz="4" w:space="0" w:color="C0C0C0"/>
            </w:tcBorders>
          </w:tcPr>
          <w:p w14:paraId="19BAF9B8" w14:textId="41DFEAB2" w:rsidR="007F42AD" w:rsidRPr="00447141" w:rsidRDefault="007F42AD" w:rsidP="007F42AD">
            <w:pPr>
              <w:pStyle w:val="bwTableText"/>
              <w:keepNext w:val="0"/>
              <w:jc w:val="center"/>
              <w:rPr>
                <w:rFonts w:cs="Segoe UI"/>
                <w:sz w:val="18"/>
                <w:szCs w:val="18"/>
              </w:rPr>
            </w:pPr>
            <w:r w:rsidRPr="00447141">
              <w:rPr>
                <w:rFonts w:cs="Segoe UI"/>
                <w:sz w:val="18"/>
                <w:szCs w:val="18"/>
              </w:rPr>
              <w:t xml:space="preserve">Default </w:t>
            </w:r>
            <w:r w:rsidR="00683AF1">
              <w:rPr>
                <w:rFonts w:cs="Segoe UI"/>
                <w:sz w:val="18"/>
                <w:szCs w:val="18"/>
              </w:rPr>
              <w:t>investment arrangement</w:t>
            </w:r>
          </w:p>
        </w:tc>
        <w:tc>
          <w:tcPr>
            <w:tcW w:w="0" w:type="dxa"/>
            <w:tcBorders>
              <w:top w:val="single" w:sz="4" w:space="0" w:color="009FE3"/>
              <w:bottom w:val="single" w:sz="4" w:space="0" w:color="C0C0C0"/>
            </w:tcBorders>
            <w:shd w:val="clear" w:color="auto" w:fill="auto"/>
          </w:tcPr>
          <w:p w14:paraId="350AC044" w14:textId="5CDA5277" w:rsidR="007F42AD" w:rsidRPr="00447141" w:rsidRDefault="00C807C3" w:rsidP="007F42AD">
            <w:pPr>
              <w:pStyle w:val="bwTableText"/>
              <w:keepNext w:val="0"/>
              <w:jc w:val="center"/>
              <w:rPr>
                <w:rFonts w:cs="Segoe UI"/>
                <w:sz w:val="18"/>
                <w:szCs w:val="18"/>
              </w:rPr>
            </w:pPr>
            <w:r>
              <w:rPr>
                <w:rFonts w:cs="Segoe UI"/>
                <w:sz w:val="18"/>
                <w:szCs w:val="18"/>
              </w:rPr>
              <w:t>-</w:t>
            </w:r>
            <w:r w:rsidR="007F42AD">
              <w:rPr>
                <w:rFonts w:cs="Segoe UI"/>
                <w:sz w:val="18"/>
                <w:szCs w:val="18"/>
              </w:rPr>
              <w:t>1.30</w:t>
            </w:r>
            <w:r w:rsidR="007F42AD" w:rsidRPr="00447141">
              <w:rPr>
                <w:rFonts w:cs="Segoe UI"/>
                <w:sz w:val="18"/>
                <w:szCs w:val="18"/>
              </w:rPr>
              <w:t xml:space="preserve">% - </w:t>
            </w:r>
            <w:r w:rsidR="007F42AD">
              <w:rPr>
                <w:rFonts w:cs="Segoe UI"/>
                <w:sz w:val="18"/>
                <w:szCs w:val="18"/>
              </w:rPr>
              <w:t>2.92</w:t>
            </w:r>
            <w:r w:rsidR="007F42AD" w:rsidRPr="00447141">
              <w:rPr>
                <w:rFonts w:cs="Segoe UI"/>
                <w:sz w:val="18"/>
                <w:szCs w:val="18"/>
              </w:rPr>
              <w:t>%</w:t>
            </w:r>
          </w:p>
        </w:tc>
        <w:tc>
          <w:tcPr>
            <w:tcW w:w="0" w:type="dxa"/>
          </w:tcPr>
          <w:p w14:paraId="787EC1EC" w14:textId="3E9A7D57" w:rsidR="007F42AD" w:rsidRPr="00447141" w:rsidRDefault="007F42AD" w:rsidP="007F42AD">
            <w:pPr>
              <w:pStyle w:val="bwTableText"/>
              <w:keepNext w:val="0"/>
              <w:jc w:val="center"/>
              <w:rPr>
                <w:rFonts w:cs="Segoe UI"/>
                <w:sz w:val="18"/>
                <w:szCs w:val="18"/>
              </w:rPr>
            </w:pPr>
            <w:r>
              <w:rPr>
                <w:rFonts w:cs="Segoe UI"/>
              </w:rPr>
              <w:t>0.43%</w:t>
            </w:r>
          </w:p>
        </w:tc>
        <w:tc>
          <w:tcPr>
            <w:tcW w:w="0" w:type="dxa"/>
          </w:tcPr>
          <w:p w14:paraId="31E2770B" w14:textId="49762A80" w:rsidR="007F42AD" w:rsidRPr="00447141" w:rsidRDefault="007F42AD" w:rsidP="007F42AD">
            <w:pPr>
              <w:pStyle w:val="bwTableText"/>
              <w:keepNext w:val="0"/>
              <w:jc w:val="center"/>
              <w:rPr>
                <w:rFonts w:cs="Segoe UI"/>
                <w:sz w:val="18"/>
                <w:szCs w:val="18"/>
              </w:rPr>
            </w:pPr>
            <w:r>
              <w:rPr>
                <w:rFonts w:cs="Segoe UI"/>
              </w:rPr>
              <w:t>0.09%</w:t>
            </w:r>
          </w:p>
        </w:tc>
      </w:tr>
      <w:tr w:rsidR="00FE2F16" w:rsidRPr="00447141" w14:paraId="27AD591F" w14:textId="77777777" w:rsidTr="00FE2F16">
        <w:trPr>
          <w:cnfStyle w:val="000000010000" w:firstRow="0" w:lastRow="0" w:firstColumn="0" w:lastColumn="0" w:oddVBand="0" w:evenVBand="0" w:oddHBand="0" w:evenHBand="1" w:firstRowFirstColumn="0" w:firstRowLastColumn="0" w:lastRowFirstColumn="0" w:lastRowLastColumn="0"/>
          <w:trHeight w:val="218"/>
        </w:trPr>
        <w:tc>
          <w:tcPr>
            <w:tcW w:w="0" w:type="dxa"/>
            <w:tcBorders>
              <w:top w:val="single" w:sz="4" w:space="0" w:color="009FE3"/>
              <w:bottom w:val="single" w:sz="4" w:space="0" w:color="C0C0C0"/>
            </w:tcBorders>
            <w:shd w:val="clear" w:color="auto" w:fill="auto"/>
          </w:tcPr>
          <w:p w14:paraId="38095738" w14:textId="29781772" w:rsidR="007F42AD" w:rsidRDefault="007F42AD" w:rsidP="007F42AD">
            <w:pPr>
              <w:pStyle w:val="bwTableText"/>
              <w:keepNext w:val="0"/>
              <w:rPr>
                <w:rFonts w:cs="Segoe UI"/>
                <w:sz w:val="18"/>
                <w:szCs w:val="18"/>
              </w:rPr>
            </w:pPr>
            <w:r>
              <w:rPr>
                <w:rFonts w:cs="Segoe UI"/>
                <w:sz w:val="18"/>
                <w:szCs w:val="18"/>
              </w:rPr>
              <w:t>Aegon BlackRock Cash (BLK)</w:t>
            </w:r>
          </w:p>
        </w:tc>
        <w:tc>
          <w:tcPr>
            <w:tcW w:w="0" w:type="dxa"/>
            <w:tcBorders>
              <w:top w:val="single" w:sz="4" w:space="0" w:color="009FE3"/>
              <w:bottom w:val="single" w:sz="4" w:space="0" w:color="C0C0C0"/>
            </w:tcBorders>
          </w:tcPr>
          <w:p w14:paraId="5963BE5B" w14:textId="448D8201" w:rsidR="007F42AD" w:rsidRPr="00447141" w:rsidRDefault="007F42AD" w:rsidP="007F42AD">
            <w:pPr>
              <w:pStyle w:val="bwTableText"/>
              <w:keepNext w:val="0"/>
              <w:jc w:val="center"/>
              <w:rPr>
                <w:rFonts w:cs="Segoe UI"/>
                <w:sz w:val="18"/>
                <w:szCs w:val="18"/>
              </w:rPr>
            </w:pPr>
            <w:r>
              <w:rPr>
                <w:rFonts w:cs="Segoe UI"/>
                <w:sz w:val="18"/>
                <w:szCs w:val="18"/>
              </w:rPr>
              <w:t>Lowest assumed investment growth</w:t>
            </w:r>
          </w:p>
        </w:tc>
        <w:tc>
          <w:tcPr>
            <w:tcW w:w="0" w:type="dxa"/>
            <w:tcBorders>
              <w:top w:val="single" w:sz="4" w:space="0" w:color="009FE3"/>
              <w:bottom w:val="single" w:sz="4" w:space="0" w:color="C0C0C0"/>
            </w:tcBorders>
            <w:shd w:val="clear" w:color="auto" w:fill="auto"/>
          </w:tcPr>
          <w:p w14:paraId="628AA00B" w14:textId="40B51EA7" w:rsidR="007F42AD" w:rsidRDefault="007F42AD" w:rsidP="007F42AD">
            <w:pPr>
              <w:pStyle w:val="bwTableText"/>
              <w:keepNext w:val="0"/>
              <w:jc w:val="center"/>
              <w:rPr>
                <w:rFonts w:cs="Segoe UI"/>
                <w:sz w:val="18"/>
                <w:szCs w:val="18"/>
              </w:rPr>
            </w:pPr>
            <w:r>
              <w:rPr>
                <w:rFonts w:cs="Segoe UI"/>
                <w:sz w:val="18"/>
                <w:szCs w:val="18"/>
              </w:rPr>
              <w:t>-1.30%</w:t>
            </w:r>
          </w:p>
        </w:tc>
        <w:tc>
          <w:tcPr>
            <w:tcW w:w="0" w:type="dxa"/>
          </w:tcPr>
          <w:p w14:paraId="7B2AB0EA" w14:textId="1430C276" w:rsidR="007F42AD" w:rsidRPr="006B0D6F" w:rsidRDefault="007F42AD" w:rsidP="007F42AD">
            <w:pPr>
              <w:pStyle w:val="bwTableText"/>
              <w:keepNext w:val="0"/>
              <w:jc w:val="center"/>
              <w:rPr>
                <w:rFonts w:cs="Segoe UI"/>
                <w:sz w:val="18"/>
                <w:szCs w:val="18"/>
              </w:rPr>
            </w:pPr>
            <w:r w:rsidRPr="00142844">
              <w:rPr>
                <w:rFonts w:cs="Segoe UI"/>
                <w:color w:val="000000"/>
              </w:rPr>
              <w:t>0.18%</w:t>
            </w:r>
          </w:p>
        </w:tc>
        <w:tc>
          <w:tcPr>
            <w:tcW w:w="0" w:type="dxa"/>
            <w:vAlign w:val="bottom"/>
          </w:tcPr>
          <w:p w14:paraId="2FD208EE" w14:textId="101DA30A" w:rsidR="007F42AD" w:rsidRDefault="007F42AD" w:rsidP="007F42AD">
            <w:pPr>
              <w:pStyle w:val="bwTableText"/>
              <w:keepNext w:val="0"/>
              <w:jc w:val="center"/>
              <w:rPr>
                <w:rFonts w:cs="Segoe UI"/>
                <w:sz w:val="18"/>
                <w:szCs w:val="18"/>
              </w:rPr>
            </w:pPr>
            <w:r w:rsidRPr="00142844">
              <w:rPr>
                <w:rFonts w:asciiTheme="majorHAnsi" w:hAnsiTheme="majorHAnsi" w:cstheme="majorHAnsi"/>
                <w:color w:val="000000"/>
              </w:rPr>
              <w:t>0.0</w:t>
            </w:r>
            <w:r>
              <w:rPr>
                <w:rFonts w:asciiTheme="majorHAnsi" w:hAnsiTheme="majorHAnsi" w:cstheme="majorHAnsi"/>
                <w:color w:val="000000"/>
              </w:rPr>
              <w:t>1</w:t>
            </w:r>
            <w:r w:rsidRPr="00142844">
              <w:rPr>
                <w:rFonts w:asciiTheme="majorHAnsi" w:hAnsiTheme="majorHAnsi" w:cstheme="majorHAnsi"/>
                <w:color w:val="000000"/>
              </w:rPr>
              <w:t>%</w:t>
            </w:r>
          </w:p>
        </w:tc>
      </w:tr>
      <w:tr w:rsidR="00FE2F16" w:rsidRPr="00447141" w14:paraId="650939C3" w14:textId="77777777" w:rsidTr="00FE2F16">
        <w:trPr>
          <w:cnfStyle w:val="000000100000" w:firstRow="0" w:lastRow="0" w:firstColumn="0" w:lastColumn="0" w:oddVBand="0" w:evenVBand="0" w:oddHBand="1" w:evenHBand="0" w:firstRowFirstColumn="0" w:firstRowLastColumn="0" w:lastRowFirstColumn="0" w:lastRowLastColumn="0"/>
          <w:trHeight w:val="218"/>
        </w:trPr>
        <w:tc>
          <w:tcPr>
            <w:tcW w:w="0" w:type="dxa"/>
            <w:tcBorders>
              <w:top w:val="single" w:sz="4" w:space="0" w:color="009FE3"/>
              <w:bottom w:val="single" w:sz="4" w:space="0" w:color="C0C0C0"/>
            </w:tcBorders>
            <w:shd w:val="clear" w:color="auto" w:fill="auto"/>
          </w:tcPr>
          <w:p w14:paraId="7B606A54" w14:textId="7041D6A7" w:rsidR="007F42AD" w:rsidRDefault="007F42AD" w:rsidP="007F42AD">
            <w:pPr>
              <w:pStyle w:val="bwTableText"/>
              <w:keepNext w:val="0"/>
              <w:rPr>
                <w:rFonts w:cs="Segoe UI"/>
                <w:sz w:val="18"/>
                <w:szCs w:val="18"/>
              </w:rPr>
            </w:pPr>
            <w:r>
              <w:rPr>
                <w:rFonts w:cs="Segoe UI"/>
                <w:sz w:val="18"/>
                <w:szCs w:val="18"/>
              </w:rPr>
              <w:t>Aegon BlackRock UK Equity Index (BLK)</w:t>
            </w:r>
          </w:p>
        </w:tc>
        <w:tc>
          <w:tcPr>
            <w:tcW w:w="0" w:type="dxa"/>
            <w:tcBorders>
              <w:top w:val="single" w:sz="4" w:space="0" w:color="009FE3"/>
              <w:bottom w:val="single" w:sz="4" w:space="0" w:color="C0C0C0"/>
            </w:tcBorders>
          </w:tcPr>
          <w:p w14:paraId="3CDC1B0B" w14:textId="2948EEA8" w:rsidR="007F42AD" w:rsidRPr="00447141" w:rsidRDefault="007F42AD" w:rsidP="007F42AD">
            <w:pPr>
              <w:pStyle w:val="bwTableText"/>
              <w:keepNext w:val="0"/>
              <w:jc w:val="center"/>
              <w:rPr>
                <w:rFonts w:cs="Segoe UI"/>
                <w:sz w:val="18"/>
                <w:szCs w:val="18"/>
              </w:rPr>
            </w:pPr>
            <w:r>
              <w:rPr>
                <w:rFonts w:cs="Segoe UI"/>
                <w:sz w:val="18"/>
                <w:szCs w:val="18"/>
              </w:rPr>
              <w:t>Lowest charge level</w:t>
            </w:r>
          </w:p>
        </w:tc>
        <w:tc>
          <w:tcPr>
            <w:tcW w:w="0" w:type="dxa"/>
            <w:tcBorders>
              <w:top w:val="single" w:sz="4" w:space="0" w:color="009FE3"/>
              <w:bottom w:val="single" w:sz="4" w:space="0" w:color="C0C0C0"/>
            </w:tcBorders>
            <w:shd w:val="clear" w:color="auto" w:fill="auto"/>
          </w:tcPr>
          <w:p w14:paraId="630638A8" w14:textId="39EADF5E" w:rsidR="007F42AD" w:rsidRDefault="007F42AD" w:rsidP="007F42AD">
            <w:pPr>
              <w:pStyle w:val="bwTableText"/>
              <w:keepNext w:val="0"/>
              <w:jc w:val="center"/>
              <w:rPr>
                <w:rFonts w:cs="Segoe UI"/>
                <w:sz w:val="18"/>
                <w:szCs w:val="18"/>
              </w:rPr>
            </w:pPr>
            <w:r>
              <w:rPr>
                <w:rFonts w:cs="Segoe UI"/>
                <w:sz w:val="18"/>
                <w:szCs w:val="18"/>
              </w:rPr>
              <w:t>3.0%</w:t>
            </w:r>
          </w:p>
        </w:tc>
        <w:tc>
          <w:tcPr>
            <w:tcW w:w="0" w:type="dxa"/>
          </w:tcPr>
          <w:p w14:paraId="00B85FB3" w14:textId="667231E9" w:rsidR="007F42AD" w:rsidRPr="006B0D6F" w:rsidRDefault="007F42AD" w:rsidP="007F42AD">
            <w:pPr>
              <w:pStyle w:val="bwTableText"/>
              <w:keepNext w:val="0"/>
              <w:jc w:val="center"/>
              <w:rPr>
                <w:rFonts w:cs="Segoe UI"/>
                <w:sz w:val="18"/>
                <w:szCs w:val="18"/>
              </w:rPr>
            </w:pPr>
            <w:r w:rsidRPr="00142844">
              <w:rPr>
                <w:rFonts w:cs="Segoe UI"/>
                <w:color w:val="000000"/>
              </w:rPr>
              <w:t>0.1</w:t>
            </w:r>
            <w:r>
              <w:rPr>
                <w:rFonts w:cs="Segoe UI"/>
                <w:color w:val="000000"/>
              </w:rPr>
              <w:t>8</w:t>
            </w:r>
            <w:r w:rsidRPr="00142844">
              <w:rPr>
                <w:rFonts w:cs="Segoe UI"/>
                <w:color w:val="000000"/>
              </w:rPr>
              <w:t>%</w:t>
            </w:r>
          </w:p>
        </w:tc>
        <w:tc>
          <w:tcPr>
            <w:tcW w:w="0" w:type="dxa"/>
            <w:vAlign w:val="bottom"/>
          </w:tcPr>
          <w:p w14:paraId="3C3C0143" w14:textId="6177FBEC" w:rsidR="007F42AD" w:rsidRDefault="007F42AD" w:rsidP="007F42AD">
            <w:pPr>
              <w:pStyle w:val="bwTableText"/>
              <w:keepNext w:val="0"/>
              <w:jc w:val="center"/>
              <w:rPr>
                <w:rFonts w:cs="Segoe UI"/>
                <w:sz w:val="18"/>
                <w:szCs w:val="18"/>
              </w:rPr>
            </w:pPr>
            <w:r w:rsidRPr="00142844">
              <w:rPr>
                <w:rFonts w:asciiTheme="majorHAnsi" w:hAnsiTheme="majorHAnsi" w:cstheme="majorHAnsi"/>
                <w:color w:val="000000"/>
              </w:rPr>
              <w:t>0.0</w:t>
            </w:r>
            <w:r>
              <w:rPr>
                <w:rFonts w:asciiTheme="majorHAnsi" w:hAnsiTheme="majorHAnsi" w:cstheme="majorHAnsi"/>
                <w:color w:val="000000"/>
              </w:rPr>
              <w:t>7</w:t>
            </w:r>
            <w:r w:rsidRPr="00142844">
              <w:rPr>
                <w:rFonts w:asciiTheme="majorHAnsi" w:hAnsiTheme="majorHAnsi" w:cstheme="majorHAnsi"/>
                <w:color w:val="000000"/>
              </w:rPr>
              <w:t>%</w:t>
            </w:r>
          </w:p>
        </w:tc>
      </w:tr>
      <w:tr w:rsidR="00FE2F16" w:rsidRPr="00447141" w14:paraId="306A0168" w14:textId="77777777" w:rsidTr="00FE2F16">
        <w:trPr>
          <w:cnfStyle w:val="000000010000" w:firstRow="0" w:lastRow="0" w:firstColumn="0" w:lastColumn="0" w:oddVBand="0" w:evenVBand="0" w:oddHBand="0" w:evenHBand="1" w:firstRowFirstColumn="0" w:firstRowLastColumn="0" w:lastRowFirstColumn="0" w:lastRowLastColumn="0"/>
          <w:trHeight w:val="48"/>
        </w:trPr>
        <w:tc>
          <w:tcPr>
            <w:tcW w:w="0" w:type="dxa"/>
            <w:tcBorders>
              <w:top w:val="single" w:sz="4" w:space="0" w:color="009FE3"/>
              <w:bottom w:val="single" w:sz="4" w:space="0" w:color="C0C0C0"/>
            </w:tcBorders>
            <w:shd w:val="clear" w:color="auto" w:fill="auto"/>
          </w:tcPr>
          <w:p w14:paraId="0CC66A39" w14:textId="476DE0A8" w:rsidR="007F42AD" w:rsidRDefault="007F42AD" w:rsidP="007F42AD">
            <w:pPr>
              <w:pStyle w:val="bwTableText"/>
              <w:keepNext w:val="0"/>
              <w:rPr>
                <w:rFonts w:cs="Segoe UI"/>
                <w:sz w:val="18"/>
                <w:szCs w:val="18"/>
              </w:rPr>
            </w:pPr>
            <w:r>
              <w:rPr>
                <w:rFonts w:cs="Segoe UI"/>
                <w:sz w:val="18"/>
                <w:szCs w:val="18"/>
              </w:rPr>
              <w:t>Aegon BlackRock US Equity Index (BLK)</w:t>
            </w:r>
          </w:p>
        </w:tc>
        <w:tc>
          <w:tcPr>
            <w:tcW w:w="0" w:type="dxa"/>
            <w:tcBorders>
              <w:top w:val="single" w:sz="4" w:space="0" w:color="009FE3"/>
              <w:bottom w:val="single" w:sz="4" w:space="0" w:color="C0C0C0"/>
            </w:tcBorders>
          </w:tcPr>
          <w:p w14:paraId="32E5BBFD" w14:textId="5549434B" w:rsidR="007F42AD" w:rsidRPr="00447141" w:rsidRDefault="007F42AD" w:rsidP="007F42AD">
            <w:pPr>
              <w:pStyle w:val="bwTableText"/>
              <w:keepNext w:val="0"/>
              <w:jc w:val="center"/>
              <w:rPr>
                <w:rFonts w:cs="Segoe UI"/>
                <w:sz w:val="18"/>
                <w:szCs w:val="18"/>
              </w:rPr>
            </w:pPr>
            <w:r>
              <w:rPr>
                <w:rFonts w:cs="Segoe UI"/>
                <w:sz w:val="18"/>
                <w:szCs w:val="18"/>
              </w:rPr>
              <w:t>Highe</w:t>
            </w:r>
            <w:r w:rsidR="00C807C3">
              <w:rPr>
                <w:rFonts w:cs="Segoe UI"/>
                <w:sz w:val="18"/>
                <w:szCs w:val="18"/>
              </w:rPr>
              <w:t>st</w:t>
            </w:r>
            <w:r>
              <w:rPr>
                <w:rFonts w:cs="Segoe UI"/>
                <w:sz w:val="18"/>
                <w:szCs w:val="18"/>
              </w:rPr>
              <w:t xml:space="preserve"> assumed investment growth</w:t>
            </w:r>
          </w:p>
        </w:tc>
        <w:tc>
          <w:tcPr>
            <w:tcW w:w="0" w:type="dxa"/>
            <w:tcBorders>
              <w:top w:val="single" w:sz="4" w:space="0" w:color="009FE3"/>
              <w:bottom w:val="single" w:sz="4" w:space="0" w:color="C0C0C0"/>
            </w:tcBorders>
            <w:shd w:val="clear" w:color="auto" w:fill="auto"/>
          </w:tcPr>
          <w:p w14:paraId="3269A3FD" w14:textId="721E1106" w:rsidR="007F42AD" w:rsidRDefault="007F42AD" w:rsidP="007F42AD">
            <w:pPr>
              <w:pStyle w:val="bwTableText"/>
              <w:keepNext w:val="0"/>
              <w:jc w:val="center"/>
              <w:rPr>
                <w:rFonts w:cs="Segoe UI"/>
                <w:sz w:val="18"/>
                <w:szCs w:val="18"/>
              </w:rPr>
            </w:pPr>
            <w:r>
              <w:rPr>
                <w:rFonts w:cs="Segoe UI"/>
                <w:sz w:val="18"/>
                <w:szCs w:val="18"/>
              </w:rPr>
              <w:t>3.0%</w:t>
            </w:r>
          </w:p>
        </w:tc>
        <w:tc>
          <w:tcPr>
            <w:tcW w:w="0" w:type="dxa"/>
          </w:tcPr>
          <w:p w14:paraId="19C4FAE7" w14:textId="6CE59D9D" w:rsidR="007F42AD" w:rsidRPr="006B0D6F" w:rsidRDefault="007F42AD" w:rsidP="007F42AD">
            <w:pPr>
              <w:pStyle w:val="bwTableText"/>
              <w:keepNext w:val="0"/>
              <w:jc w:val="center"/>
              <w:rPr>
                <w:rFonts w:cs="Segoe UI"/>
                <w:sz w:val="18"/>
                <w:szCs w:val="18"/>
              </w:rPr>
            </w:pPr>
            <w:r w:rsidRPr="00142844">
              <w:rPr>
                <w:rFonts w:cs="Segoe UI"/>
                <w:color w:val="000000"/>
              </w:rPr>
              <w:t>0.19%</w:t>
            </w:r>
          </w:p>
        </w:tc>
        <w:tc>
          <w:tcPr>
            <w:tcW w:w="0" w:type="dxa"/>
            <w:vAlign w:val="bottom"/>
          </w:tcPr>
          <w:p w14:paraId="34DA292A" w14:textId="08FB63EA" w:rsidR="007F42AD" w:rsidRDefault="007F42AD" w:rsidP="007F42AD">
            <w:pPr>
              <w:pStyle w:val="bwTableText"/>
              <w:keepNext w:val="0"/>
              <w:jc w:val="center"/>
              <w:rPr>
                <w:rFonts w:cs="Segoe UI"/>
                <w:sz w:val="18"/>
                <w:szCs w:val="18"/>
              </w:rPr>
            </w:pPr>
            <w:r w:rsidRPr="00142844">
              <w:rPr>
                <w:rFonts w:asciiTheme="majorHAnsi" w:hAnsiTheme="majorHAnsi" w:cstheme="majorHAnsi"/>
                <w:color w:val="000000"/>
              </w:rPr>
              <w:t>0.0</w:t>
            </w:r>
            <w:r>
              <w:rPr>
                <w:rFonts w:asciiTheme="majorHAnsi" w:hAnsiTheme="majorHAnsi" w:cstheme="majorHAnsi"/>
                <w:color w:val="000000"/>
              </w:rPr>
              <w:t>2</w:t>
            </w:r>
            <w:r w:rsidRPr="00142844">
              <w:rPr>
                <w:rFonts w:asciiTheme="majorHAnsi" w:hAnsiTheme="majorHAnsi" w:cstheme="majorHAnsi"/>
                <w:color w:val="000000"/>
              </w:rPr>
              <w:t>%</w:t>
            </w:r>
          </w:p>
        </w:tc>
      </w:tr>
      <w:tr w:rsidR="00722F7C" w:rsidRPr="00447141" w14:paraId="795CD31D" w14:textId="77777777" w:rsidTr="00B140E5">
        <w:trPr>
          <w:cnfStyle w:val="000000100000" w:firstRow="0" w:lastRow="0" w:firstColumn="0" w:lastColumn="0" w:oddVBand="0" w:evenVBand="0" w:oddHBand="1" w:evenHBand="0" w:firstRowFirstColumn="0" w:firstRowLastColumn="0" w:lastRowFirstColumn="0" w:lastRowLastColumn="0"/>
          <w:trHeight w:val="15"/>
        </w:trPr>
        <w:tc>
          <w:tcPr>
            <w:tcW w:w="2268" w:type="dxa"/>
            <w:tcBorders>
              <w:top w:val="single" w:sz="4" w:space="0" w:color="C0C0C0"/>
              <w:bottom w:val="single" w:sz="4" w:space="0" w:color="C0C0C0"/>
            </w:tcBorders>
            <w:shd w:val="clear" w:color="auto" w:fill="auto"/>
          </w:tcPr>
          <w:p w14:paraId="382FA0DE" w14:textId="0C9C26D3" w:rsidR="00722F7C" w:rsidRPr="00447141" w:rsidRDefault="00722F7C" w:rsidP="00B140E5">
            <w:pPr>
              <w:pStyle w:val="bwTableText"/>
              <w:keepNext w:val="0"/>
              <w:rPr>
                <w:rFonts w:cs="Segoe UI"/>
                <w:sz w:val="18"/>
                <w:szCs w:val="18"/>
              </w:rPr>
            </w:pPr>
            <w:r>
              <w:rPr>
                <w:rFonts w:cs="Segoe UI"/>
                <w:sz w:val="18"/>
                <w:szCs w:val="18"/>
              </w:rPr>
              <w:t>Aegon AM Ethical Equity</w:t>
            </w:r>
            <w:r w:rsidR="004D2925">
              <w:rPr>
                <w:rFonts w:cs="Segoe UI"/>
                <w:sz w:val="18"/>
                <w:szCs w:val="18"/>
              </w:rPr>
              <w:t xml:space="preserve"> (BLK)</w:t>
            </w:r>
          </w:p>
        </w:tc>
        <w:tc>
          <w:tcPr>
            <w:tcW w:w="2552" w:type="dxa"/>
            <w:tcBorders>
              <w:top w:val="single" w:sz="4" w:space="0" w:color="C0C0C0"/>
              <w:bottom w:val="single" w:sz="4" w:space="0" w:color="C0C0C0"/>
            </w:tcBorders>
          </w:tcPr>
          <w:p w14:paraId="163B41A3" w14:textId="76A7896E" w:rsidR="00722F7C" w:rsidRPr="00BD26E9" w:rsidRDefault="00722F7C" w:rsidP="00B140E5">
            <w:pPr>
              <w:pStyle w:val="bwTableText"/>
              <w:keepNext w:val="0"/>
              <w:jc w:val="center"/>
              <w:rPr>
                <w:rFonts w:cs="Segoe UI"/>
                <w:sz w:val="18"/>
                <w:szCs w:val="18"/>
              </w:rPr>
            </w:pPr>
            <w:r w:rsidRPr="00BD26E9">
              <w:rPr>
                <w:rFonts w:cs="Segoe UI"/>
                <w:sz w:val="18"/>
                <w:szCs w:val="18"/>
              </w:rPr>
              <w:t xml:space="preserve">Highest </w:t>
            </w:r>
            <w:r w:rsidR="004D2925">
              <w:rPr>
                <w:rFonts w:cs="Segoe UI"/>
                <w:sz w:val="18"/>
                <w:szCs w:val="18"/>
              </w:rPr>
              <w:t>charge level</w:t>
            </w:r>
          </w:p>
        </w:tc>
        <w:tc>
          <w:tcPr>
            <w:tcW w:w="1493" w:type="dxa"/>
            <w:tcBorders>
              <w:top w:val="single" w:sz="4" w:space="0" w:color="C0C0C0"/>
              <w:bottom w:val="single" w:sz="4" w:space="0" w:color="C0C0C0"/>
            </w:tcBorders>
            <w:shd w:val="clear" w:color="auto" w:fill="auto"/>
          </w:tcPr>
          <w:p w14:paraId="7A51CDA6" w14:textId="665F3450" w:rsidR="00722F7C" w:rsidRPr="00447141" w:rsidRDefault="007F42AD" w:rsidP="00B140E5">
            <w:pPr>
              <w:pStyle w:val="bwTableText"/>
              <w:keepNext w:val="0"/>
              <w:jc w:val="center"/>
              <w:rPr>
                <w:rFonts w:cs="Segoe UI"/>
                <w:sz w:val="18"/>
                <w:szCs w:val="18"/>
              </w:rPr>
            </w:pPr>
            <w:r>
              <w:rPr>
                <w:rFonts w:cs="Segoe UI"/>
                <w:sz w:val="18"/>
                <w:szCs w:val="18"/>
              </w:rPr>
              <w:t>2.94%</w:t>
            </w:r>
          </w:p>
        </w:tc>
        <w:tc>
          <w:tcPr>
            <w:tcW w:w="1493" w:type="dxa"/>
            <w:tcBorders>
              <w:top w:val="single" w:sz="4" w:space="0" w:color="C0C0C0"/>
              <w:bottom w:val="single" w:sz="4" w:space="0" w:color="C0C0C0"/>
            </w:tcBorders>
          </w:tcPr>
          <w:p w14:paraId="2F4B456D" w14:textId="6D66CBE8" w:rsidR="00722F7C" w:rsidRPr="00447141" w:rsidRDefault="00722F7C" w:rsidP="00B140E5">
            <w:pPr>
              <w:pStyle w:val="bwTableText"/>
              <w:keepNext w:val="0"/>
              <w:jc w:val="center"/>
              <w:rPr>
                <w:rFonts w:cs="Segoe UI"/>
                <w:sz w:val="18"/>
                <w:szCs w:val="18"/>
              </w:rPr>
            </w:pPr>
            <w:r>
              <w:rPr>
                <w:rFonts w:cs="Segoe UI"/>
                <w:sz w:val="18"/>
                <w:szCs w:val="18"/>
              </w:rPr>
              <w:t>0.9</w:t>
            </w:r>
            <w:r w:rsidR="007F42AD">
              <w:rPr>
                <w:rFonts w:cs="Segoe UI"/>
                <w:sz w:val="18"/>
                <w:szCs w:val="18"/>
              </w:rPr>
              <w:t>2</w:t>
            </w:r>
            <w:r>
              <w:rPr>
                <w:rFonts w:cs="Segoe UI"/>
                <w:sz w:val="18"/>
                <w:szCs w:val="18"/>
              </w:rPr>
              <w:t>%</w:t>
            </w:r>
          </w:p>
        </w:tc>
        <w:tc>
          <w:tcPr>
            <w:tcW w:w="1493" w:type="dxa"/>
            <w:tcBorders>
              <w:top w:val="single" w:sz="4" w:space="0" w:color="C0C0C0"/>
              <w:bottom w:val="single" w:sz="4" w:space="0" w:color="C0C0C0"/>
            </w:tcBorders>
          </w:tcPr>
          <w:p w14:paraId="75B344A1" w14:textId="1BA9843C" w:rsidR="00722F7C" w:rsidRPr="00447141" w:rsidRDefault="00722F7C" w:rsidP="00B140E5">
            <w:pPr>
              <w:pStyle w:val="bwTableText"/>
              <w:keepNext w:val="0"/>
              <w:jc w:val="center"/>
              <w:rPr>
                <w:rFonts w:cs="Segoe UI"/>
                <w:sz w:val="18"/>
                <w:szCs w:val="18"/>
              </w:rPr>
            </w:pPr>
            <w:r w:rsidRPr="00447141">
              <w:rPr>
                <w:rFonts w:cs="Segoe UI"/>
                <w:sz w:val="18"/>
                <w:szCs w:val="18"/>
              </w:rPr>
              <w:t>0.</w:t>
            </w:r>
            <w:r w:rsidR="007F42AD">
              <w:rPr>
                <w:rFonts w:cs="Segoe UI"/>
                <w:sz w:val="18"/>
                <w:szCs w:val="18"/>
              </w:rPr>
              <w:t>17</w:t>
            </w:r>
            <w:r w:rsidRPr="00447141">
              <w:rPr>
                <w:rFonts w:cs="Segoe UI"/>
                <w:sz w:val="18"/>
                <w:szCs w:val="18"/>
              </w:rPr>
              <w:t>%</w:t>
            </w:r>
          </w:p>
        </w:tc>
      </w:tr>
    </w:tbl>
    <w:p w14:paraId="1F275DDB" w14:textId="77777777" w:rsidR="00722F7C" w:rsidRPr="00447141" w:rsidRDefault="00722F7C" w:rsidP="00722F7C">
      <w:pPr>
        <w:spacing w:before="120" w:after="120"/>
        <w:ind w:left="990" w:hanging="270"/>
        <w:jc w:val="both"/>
        <w:textAlignment w:val="baseline"/>
        <w:rPr>
          <w:rFonts w:eastAsia="Times New Roman" w:cs="Segoe UI"/>
          <w:szCs w:val="22"/>
          <w:lang w:val="en-GB" w:eastAsia="en-GB" w:bidi="ar-SA"/>
        </w:rPr>
      </w:pPr>
      <w:r w:rsidRPr="00447141">
        <w:rPr>
          <w:rFonts w:eastAsia="Times New Roman" w:cs="Segoe UI"/>
          <w:szCs w:val="22"/>
          <w:lang w:val="en-GB" w:eastAsia="en-GB" w:bidi="ar-SA"/>
        </w:rPr>
        <w:t>*</w:t>
      </w:r>
      <w:r w:rsidRPr="00447141">
        <w:rPr>
          <w:rFonts w:eastAsia="Times New Roman" w:cs="Segoe UI"/>
          <w:szCs w:val="22"/>
          <w:lang w:val="en-GB" w:eastAsia="en-GB" w:bidi="ar-SA"/>
        </w:rPr>
        <w:tab/>
      </w:r>
      <w:r w:rsidRPr="00FE2F16">
        <w:rPr>
          <w:rFonts w:eastAsia="Times New Roman" w:cs="Segoe UI"/>
          <w:i/>
          <w:iCs/>
          <w:sz w:val="18"/>
          <w:szCs w:val="18"/>
          <w:lang w:val="en-GB" w:eastAsia="en-GB" w:bidi="ar-SA"/>
        </w:rPr>
        <w:t>Projected</w:t>
      </w:r>
      <w:r w:rsidRPr="00FE2F16">
        <w:rPr>
          <w:rFonts w:eastAsia="Times New Roman" w:cs="Segoe UI"/>
          <w:i/>
          <w:iCs/>
          <w:sz w:val="18"/>
          <w:szCs w:val="18"/>
          <w:lang w:eastAsia="en-GB" w:bidi="ar-SA"/>
        </w:rPr>
        <w:t xml:space="preserve"> growth rates, gross of costs and charges, for each investment option are in line with the FCA Illustrations.</w:t>
      </w:r>
      <w:r w:rsidRPr="00447141">
        <w:rPr>
          <w:rFonts w:eastAsia="Times New Roman" w:cs="Segoe UI"/>
          <w:szCs w:val="22"/>
          <w:lang w:val="en-GB" w:eastAsia="en-GB" w:bidi="ar-SA"/>
        </w:rPr>
        <w:t> </w:t>
      </w:r>
    </w:p>
    <w:p w14:paraId="44484D10" w14:textId="77777777" w:rsidR="00722F7C" w:rsidRPr="00447141" w:rsidRDefault="00722F7C" w:rsidP="00722F7C">
      <w:pPr>
        <w:spacing w:before="120"/>
        <w:ind w:left="990" w:hanging="270"/>
        <w:jc w:val="both"/>
        <w:textAlignment w:val="baseline"/>
        <w:rPr>
          <w:rFonts w:ascii="Times New Roman" w:eastAsia="Times New Roman" w:hAnsi="Times New Roman"/>
          <w:sz w:val="22"/>
          <w:lang w:val="en-GB" w:eastAsia="en-GB" w:bidi="ar-SA"/>
        </w:rPr>
      </w:pPr>
      <w:r w:rsidRPr="00447141">
        <w:rPr>
          <w:lang w:val="en-GB"/>
        </w:rPr>
        <w:lastRenderedPageBreak/>
        <w:t>**</w:t>
      </w:r>
      <w:r w:rsidRPr="00447141">
        <w:rPr>
          <w:lang w:val="en-GB"/>
        </w:rPr>
        <w:tab/>
      </w:r>
      <w:r w:rsidRPr="00FE2F16">
        <w:rPr>
          <w:i/>
          <w:iCs/>
          <w:sz w:val="18"/>
          <w:szCs w:val="18"/>
          <w:lang w:val="en-GB"/>
        </w:rPr>
        <w:t xml:space="preserve">The statutory guidance requires trustees to use an average of the last five years’ transaction costs (insofar as they are able) when producing the illustrations.  As data is only available for the last four years only, the figures are </w:t>
      </w:r>
      <w:proofErr w:type="gramStart"/>
      <w:r w:rsidRPr="00FE2F16">
        <w:rPr>
          <w:i/>
          <w:iCs/>
          <w:sz w:val="18"/>
          <w:szCs w:val="18"/>
          <w:lang w:val="en-GB"/>
        </w:rPr>
        <w:t>four year</w:t>
      </w:r>
      <w:proofErr w:type="gramEnd"/>
      <w:r w:rsidRPr="00FE2F16">
        <w:rPr>
          <w:i/>
          <w:iCs/>
          <w:sz w:val="18"/>
          <w:szCs w:val="18"/>
          <w:lang w:val="en-GB"/>
        </w:rPr>
        <w:t xml:space="preserve"> averages.</w:t>
      </w:r>
      <w:r w:rsidRPr="00447141">
        <w:rPr>
          <w:lang w:val="en-GB"/>
        </w:rPr>
        <w:t xml:space="preserve">   </w:t>
      </w:r>
    </w:p>
    <w:p w14:paraId="7C4EC3E4" w14:textId="77777777" w:rsidR="00722F7C" w:rsidRPr="00722F7C" w:rsidRDefault="00722F7C" w:rsidP="00FE2F16">
      <w:pPr>
        <w:spacing w:before="120" w:after="120" w:line="264" w:lineRule="auto"/>
        <w:jc w:val="both"/>
        <w:rPr>
          <w:rStyle w:val="legamendingtext"/>
          <w:rFonts w:cs="Segoe UI"/>
          <w:lang w:val="en-GB" w:eastAsia="en-GB" w:bidi="ar-SA"/>
        </w:rPr>
      </w:pPr>
    </w:p>
    <w:p w14:paraId="676070ED" w14:textId="77777777" w:rsidR="002B7E60" w:rsidRPr="00447141" w:rsidRDefault="002B7E60" w:rsidP="006B4574">
      <w:pPr>
        <w:pStyle w:val="ListParagraph"/>
        <w:numPr>
          <w:ilvl w:val="1"/>
          <w:numId w:val="9"/>
        </w:numPr>
        <w:spacing w:before="120" w:after="120" w:line="264" w:lineRule="auto"/>
        <w:ind w:left="567" w:hanging="567"/>
        <w:contextualSpacing w:val="0"/>
        <w:jc w:val="both"/>
        <w:rPr>
          <w:rStyle w:val="legamendingtext"/>
          <w:rFonts w:cs="Segoe UI"/>
          <w:lang w:val="en-GB" w:eastAsia="en-GB" w:bidi="ar-SA"/>
        </w:rPr>
      </w:pPr>
      <w:r w:rsidRPr="00447141">
        <w:rPr>
          <w:rStyle w:val="legamendingtext"/>
          <w:rFonts w:cs="Segoe UI"/>
        </w:rPr>
        <w:t>Values shown are estimates and not guaranteed.</w:t>
      </w:r>
    </w:p>
    <w:p w14:paraId="1CB55FC7" w14:textId="0DAB38F2" w:rsidR="002B7E60" w:rsidRPr="00447141" w:rsidRDefault="002B7E60" w:rsidP="006B4574">
      <w:pPr>
        <w:pStyle w:val="ListParagraph"/>
        <w:numPr>
          <w:ilvl w:val="1"/>
          <w:numId w:val="9"/>
        </w:numPr>
        <w:spacing w:before="120" w:after="120" w:line="264" w:lineRule="auto"/>
        <w:ind w:left="567" w:hanging="567"/>
        <w:contextualSpacing w:val="0"/>
        <w:jc w:val="both"/>
        <w:rPr>
          <w:rStyle w:val="legamendingtext"/>
          <w:rFonts w:cs="Segoe UI"/>
          <w:lang w:val="en-GB" w:eastAsia="en-GB" w:bidi="ar-SA"/>
        </w:rPr>
      </w:pPr>
      <w:r w:rsidRPr="00447141">
        <w:rPr>
          <w:rStyle w:val="legamendingtext"/>
          <w:rFonts w:cs="Segoe UI"/>
        </w:rPr>
        <w:t xml:space="preserve">The starting date for the illustrations is </w:t>
      </w:r>
      <w:r w:rsidR="008D1CB3">
        <w:rPr>
          <w:rStyle w:val="legamendingtext"/>
          <w:rFonts w:cs="Segoe UI"/>
        </w:rPr>
        <w:t>31 March 2023</w:t>
      </w:r>
      <w:r w:rsidRPr="00447141">
        <w:rPr>
          <w:rStyle w:val="legamendingtext"/>
          <w:rFonts w:cs="Segoe UI"/>
        </w:rPr>
        <w:t>.</w:t>
      </w:r>
    </w:p>
    <w:p w14:paraId="523FA535" w14:textId="77777777" w:rsidR="002B7E60" w:rsidRPr="00447141" w:rsidRDefault="002B7E60" w:rsidP="006B4574">
      <w:pPr>
        <w:pStyle w:val="ListParagraph"/>
        <w:numPr>
          <w:ilvl w:val="1"/>
          <w:numId w:val="9"/>
        </w:numPr>
        <w:spacing w:after="120" w:line="264" w:lineRule="auto"/>
        <w:ind w:left="567" w:hanging="567"/>
        <w:contextualSpacing w:val="0"/>
        <w:jc w:val="both"/>
        <w:rPr>
          <w:rStyle w:val="legamendingtext"/>
          <w:rFonts w:cs="Segoe UI"/>
          <w:lang w:val="en-GB" w:eastAsia="en-GB" w:bidi="ar-SA"/>
        </w:rPr>
      </w:pPr>
      <w:r w:rsidRPr="00447141">
        <w:rPr>
          <w:rStyle w:val="legamendingtext"/>
          <w:rFonts w:cs="Segoe UI"/>
          <w:lang w:val="en"/>
        </w:rPr>
        <w:t>The illustrations are presented in two different ways:</w:t>
      </w:r>
    </w:p>
    <w:p w14:paraId="6EB1BEF0" w14:textId="0704115A" w:rsidR="002B7E60" w:rsidRPr="00447141" w:rsidRDefault="002B7E60" w:rsidP="006B4574">
      <w:pPr>
        <w:pStyle w:val="ListParagraph"/>
        <w:numPr>
          <w:ilvl w:val="2"/>
          <w:numId w:val="9"/>
        </w:numPr>
        <w:spacing w:before="120" w:after="120" w:line="264" w:lineRule="auto"/>
        <w:ind w:left="1276" w:hanging="709"/>
        <w:contextualSpacing w:val="0"/>
        <w:jc w:val="both"/>
        <w:rPr>
          <w:rFonts w:cs="Segoe UI"/>
          <w:lang w:val="en-GB" w:eastAsia="en-GB" w:bidi="ar-SA"/>
        </w:rPr>
      </w:pPr>
      <w:r w:rsidRPr="00447141">
        <w:rPr>
          <w:rFonts w:cs="Segoe UI"/>
        </w:rPr>
        <w:t>For the default</w:t>
      </w:r>
      <w:r w:rsidR="00683AF1">
        <w:rPr>
          <w:rFonts w:cs="Segoe UI"/>
        </w:rPr>
        <w:t xml:space="preserve"> investment arrangement</w:t>
      </w:r>
      <w:r w:rsidRPr="00447141">
        <w:rPr>
          <w:rFonts w:cs="Segoe UI"/>
        </w:rPr>
        <w:t xml:space="preserve">, a lifestyle strategy, the illustrations should be read </w:t>
      </w:r>
      <w:r w:rsidR="00BD26E9">
        <w:rPr>
          <w:rFonts w:cs="Segoe UI"/>
        </w:rPr>
        <w:t xml:space="preserve">assuming your current age is </w:t>
      </w:r>
      <w:r w:rsidR="00B43189">
        <w:rPr>
          <w:rFonts w:cs="Segoe UI"/>
        </w:rPr>
        <w:t>1</w:t>
      </w:r>
      <w:r w:rsidR="008D1CB3">
        <w:rPr>
          <w:rFonts w:cs="Segoe UI"/>
        </w:rPr>
        <w:t>6</w:t>
      </w:r>
      <w:r w:rsidR="00B43189">
        <w:rPr>
          <w:rFonts w:cs="Segoe UI"/>
        </w:rPr>
        <w:t xml:space="preserve"> and retirement age is 65</w:t>
      </w:r>
      <w:r w:rsidRPr="00447141">
        <w:rPr>
          <w:rFonts w:cs="Segoe UI"/>
        </w:rPr>
        <w:t>.</w:t>
      </w:r>
    </w:p>
    <w:p w14:paraId="33F6F17A" w14:textId="60BE97F6" w:rsidR="002B7E60" w:rsidRPr="00447141" w:rsidRDefault="002B7E60" w:rsidP="006B4574">
      <w:pPr>
        <w:pStyle w:val="ListParagraph"/>
        <w:numPr>
          <w:ilvl w:val="2"/>
          <w:numId w:val="9"/>
        </w:numPr>
        <w:spacing w:before="120" w:after="120" w:line="264" w:lineRule="auto"/>
        <w:ind w:left="1276" w:hanging="709"/>
        <w:contextualSpacing w:val="0"/>
        <w:jc w:val="both"/>
        <w:rPr>
          <w:rFonts w:cs="Segoe UI"/>
          <w:lang w:val="en-GB" w:eastAsia="en-GB" w:bidi="ar-SA"/>
        </w:rPr>
      </w:pPr>
      <w:r w:rsidRPr="00447141">
        <w:rPr>
          <w:rFonts w:cs="Segoe UI"/>
        </w:rPr>
        <w:t xml:space="preserve">For the self-select funds, the illustrations should be read based upon the number of </w:t>
      </w:r>
      <w:r w:rsidR="008E74F0" w:rsidRPr="00447141">
        <w:rPr>
          <w:rFonts w:cs="Segoe UI"/>
        </w:rPr>
        <w:t xml:space="preserve">future </w:t>
      </w:r>
      <w:r w:rsidRPr="00447141">
        <w:rPr>
          <w:rFonts w:cs="Segoe UI"/>
        </w:rPr>
        <w:t>years that a member expects to be invested in those funds.</w:t>
      </w:r>
    </w:p>
    <w:p w14:paraId="239AAB91" w14:textId="2AC1333D" w:rsidR="002B7E60" w:rsidRPr="00FD3F55" w:rsidRDefault="00B43189" w:rsidP="002B7E60">
      <w:pPr>
        <w:pStyle w:val="Heading3"/>
        <w:rPr>
          <w:color w:val="009FE3" w:themeColor="background2"/>
        </w:rPr>
      </w:pPr>
      <w:r w:rsidRPr="00FD3F55">
        <w:rPr>
          <w:color w:val="009FE3" w:themeColor="background2"/>
        </w:rPr>
        <w:t xml:space="preserve">Illustrations for </w:t>
      </w:r>
      <w:r w:rsidRPr="00FD3F55">
        <w:rPr>
          <w:color w:val="009FE3" w:themeColor="background2"/>
          <w:sz w:val="20"/>
        </w:rPr>
        <w:t>a starting fund value of £</w:t>
      </w:r>
      <w:r w:rsidR="008D1CB3">
        <w:rPr>
          <w:color w:val="009FE3" w:themeColor="background2"/>
          <w:sz w:val="20"/>
        </w:rPr>
        <w:t>17</w:t>
      </w:r>
      <w:r w:rsidRPr="00FD3F55">
        <w:rPr>
          <w:color w:val="009FE3" w:themeColor="background2"/>
          <w:sz w:val="20"/>
        </w:rPr>
        <w:t>,000</w:t>
      </w:r>
    </w:p>
    <w:p w14:paraId="7DDB6954" w14:textId="4F95BB23" w:rsidR="00FD3F55" w:rsidRPr="00FE2F16" w:rsidRDefault="00FD3F55" w:rsidP="006B4574">
      <w:pPr>
        <w:pStyle w:val="ListParagraph"/>
        <w:numPr>
          <w:ilvl w:val="1"/>
          <w:numId w:val="9"/>
        </w:numPr>
        <w:spacing w:before="120" w:after="120" w:line="264" w:lineRule="auto"/>
        <w:ind w:left="567" w:hanging="573"/>
        <w:contextualSpacing w:val="0"/>
        <w:jc w:val="both"/>
        <w:rPr>
          <w:lang w:val="en-GB" w:eastAsia="en-GB" w:bidi="ar-SA"/>
        </w:rPr>
      </w:pPr>
      <w:r w:rsidRPr="001D276F">
        <w:rPr>
          <w:rFonts w:cstheme="minorBidi"/>
          <w:lang w:val="en-GB" w:bidi="ar-SA"/>
        </w:rPr>
        <w:t xml:space="preserve">Note on how to read this </w:t>
      </w:r>
      <w:r w:rsidRPr="00BD5314">
        <w:rPr>
          <w:rFonts w:cstheme="minorBidi"/>
          <w:lang w:val="en-GB" w:bidi="ar-SA"/>
        </w:rPr>
        <w:t xml:space="preserve">table: If an active </w:t>
      </w:r>
      <w:r>
        <w:rPr>
          <w:rFonts w:cstheme="minorBidi"/>
          <w:lang w:val="en-GB" w:bidi="ar-SA"/>
        </w:rPr>
        <w:t>m</w:t>
      </w:r>
      <w:r w:rsidRPr="00BD5314">
        <w:rPr>
          <w:rFonts w:cstheme="minorBidi"/>
          <w:lang w:val="en-GB" w:bidi="ar-SA"/>
        </w:rPr>
        <w:t>ember aged 1</w:t>
      </w:r>
      <w:r w:rsidR="008D1CB3">
        <w:rPr>
          <w:rFonts w:cstheme="minorBidi"/>
          <w:lang w:val="en-GB" w:bidi="ar-SA"/>
        </w:rPr>
        <w:t>6</w:t>
      </w:r>
      <w:r w:rsidRPr="00BD5314">
        <w:rPr>
          <w:rFonts w:cstheme="minorBidi"/>
          <w:lang w:val="en-GB" w:bidi="ar-SA"/>
        </w:rPr>
        <w:t xml:space="preserve"> had £</w:t>
      </w:r>
      <w:r w:rsidR="008D1CB3">
        <w:rPr>
          <w:rFonts w:cstheme="minorBidi"/>
          <w:lang w:val="en-GB" w:bidi="ar-SA"/>
        </w:rPr>
        <w:t>17</w:t>
      </w:r>
      <w:r>
        <w:rPr>
          <w:rFonts w:cstheme="minorBidi"/>
          <w:lang w:val="en-GB" w:bidi="ar-SA"/>
        </w:rPr>
        <w:t>,</w:t>
      </w:r>
      <w:r w:rsidRPr="00184E0B">
        <w:rPr>
          <w:rFonts w:cstheme="minorBidi"/>
          <w:lang w:val="en-GB" w:bidi="ar-SA"/>
        </w:rPr>
        <w:t>00</w:t>
      </w:r>
      <w:r>
        <w:rPr>
          <w:rFonts w:cstheme="minorBidi"/>
          <w:lang w:val="en-GB" w:bidi="ar-SA"/>
        </w:rPr>
        <w:t>0</w:t>
      </w:r>
      <w:r w:rsidRPr="00BD5314">
        <w:rPr>
          <w:rFonts w:cstheme="minorBidi"/>
          <w:lang w:val="en-GB" w:bidi="ar-SA"/>
        </w:rPr>
        <w:t xml:space="preserve"> invested in the </w:t>
      </w:r>
      <w:r>
        <w:rPr>
          <w:rFonts w:cstheme="minorBidi"/>
          <w:lang w:val="en-GB" w:bidi="ar-SA"/>
        </w:rPr>
        <w:t>Urenco Drawdown Path</w:t>
      </w:r>
      <w:r w:rsidRPr="00BD5314">
        <w:rPr>
          <w:rFonts w:cstheme="minorBidi"/>
          <w:lang w:val="en-GB" w:bidi="ar-SA"/>
        </w:rPr>
        <w:t xml:space="preserve">, in </w:t>
      </w:r>
      <w:r>
        <w:rPr>
          <w:rFonts w:cstheme="minorBidi"/>
          <w:lang w:val="en-GB" w:bidi="ar-SA"/>
        </w:rPr>
        <w:t>4</w:t>
      </w:r>
      <w:r w:rsidR="008D1CB3">
        <w:rPr>
          <w:rFonts w:cstheme="minorBidi"/>
          <w:lang w:val="en-GB" w:bidi="ar-SA"/>
        </w:rPr>
        <w:t>5</w:t>
      </w:r>
      <w:r w:rsidRPr="00BD5314">
        <w:rPr>
          <w:rFonts w:cstheme="minorBidi"/>
          <w:lang w:val="en-GB" w:bidi="ar-SA"/>
        </w:rPr>
        <w:t xml:space="preserve"> years, the savings pot could grow to £</w:t>
      </w:r>
      <w:r>
        <w:rPr>
          <w:rFonts w:cstheme="minorBidi"/>
          <w:lang w:val="en-GB" w:bidi="ar-SA"/>
        </w:rPr>
        <w:t>1,</w:t>
      </w:r>
      <w:r w:rsidR="00F57CA9">
        <w:rPr>
          <w:rFonts w:cstheme="minorBidi"/>
          <w:lang w:val="en-GB" w:bidi="ar-SA"/>
        </w:rPr>
        <w:t>521,895.60</w:t>
      </w:r>
      <w:r w:rsidR="008D1CB3">
        <w:rPr>
          <w:rFonts w:cstheme="minorBidi"/>
          <w:lang w:val="en-GB" w:bidi="ar-SA"/>
        </w:rPr>
        <w:t xml:space="preserve"> </w:t>
      </w:r>
      <w:r w:rsidRPr="00BD5314">
        <w:rPr>
          <w:rFonts w:cstheme="minorBidi"/>
          <w:lang w:val="en-GB" w:bidi="ar-SA"/>
        </w:rPr>
        <w:t>if no charges are applied but to £</w:t>
      </w:r>
      <w:r w:rsidR="00F57CA9">
        <w:rPr>
          <w:rFonts w:cstheme="minorBidi"/>
          <w:lang w:val="en-GB" w:bidi="ar-SA"/>
        </w:rPr>
        <w:t>1,349,129.35</w:t>
      </w:r>
      <w:r w:rsidR="008D1CB3" w:rsidRPr="00BD5314">
        <w:rPr>
          <w:rFonts w:cstheme="minorBidi"/>
          <w:lang w:val="en-GB" w:bidi="ar-SA"/>
        </w:rPr>
        <w:t xml:space="preserve"> </w:t>
      </w:r>
      <w:r w:rsidRPr="00BD5314">
        <w:rPr>
          <w:rFonts w:cstheme="minorBidi"/>
          <w:lang w:val="en-GB" w:bidi="ar-SA"/>
        </w:rPr>
        <w:t xml:space="preserve">with charges applied. </w:t>
      </w:r>
    </w:p>
    <w:p w14:paraId="0E41C711" w14:textId="2D19D12D" w:rsidR="008D1CB3" w:rsidRPr="008D1CB3" w:rsidRDefault="008D1CB3" w:rsidP="00FE2F16">
      <w:pPr>
        <w:spacing w:before="120" w:after="120" w:line="264" w:lineRule="auto"/>
        <w:ind w:left="-6"/>
        <w:jc w:val="both"/>
        <w:rPr>
          <w:lang w:val="en-GB" w:eastAsia="en-GB" w:bidi="ar-SA"/>
        </w:rPr>
      </w:pPr>
      <w:r w:rsidRPr="008D1CB3">
        <w:rPr>
          <w:noProof/>
          <w:lang w:val="en-GB" w:eastAsia="en-GB" w:bidi="ar-SA"/>
        </w:rPr>
        <w:drawing>
          <wp:inline distT="0" distB="0" distL="0" distR="0" wp14:anchorId="527A7AFF" wp14:editId="641FA31D">
            <wp:extent cx="6195060" cy="1623802"/>
            <wp:effectExtent l="0" t="0" r="0" b="0"/>
            <wp:docPr id="5" name="Picture 5" descr="A group of numbers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numbers on a white background&#10;&#10;Description automatically generated with medium confidence"/>
                    <pic:cNvPicPr/>
                  </pic:nvPicPr>
                  <pic:blipFill>
                    <a:blip r:embed="rId15"/>
                    <a:stretch>
                      <a:fillRect/>
                    </a:stretch>
                  </pic:blipFill>
                  <pic:spPr>
                    <a:xfrm>
                      <a:off x="0" y="0"/>
                      <a:ext cx="6238125" cy="1635090"/>
                    </a:xfrm>
                    <a:prstGeom prst="rect">
                      <a:avLst/>
                    </a:prstGeom>
                  </pic:spPr>
                </pic:pic>
              </a:graphicData>
            </a:graphic>
          </wp:inline>
        </w:drawing>
      </w:r>
    </w:p>
    <w:p w14:paraId="3686D1CF" w14:textId="306E9C29" w:rsidR="00FD3F55" w:rsidRPr="00FD3F55" w:rsidRDefault="00FD3F55" w:rsidP="00FD3F55">
      <w:pPr>
        <w:pStyle w:val="Heading3"/>
        <w:rPr>
          <w:color w:val="009FE3" w:themeColor="background2"/>
        </w:rPr>
      </w:pPr>
      <w:r w:rsidRPr="00FD3F55">
        <w:rPr>
          <w:color w:val="009FE3" w:themeColor="background2"/>
        </w:rPr>
        <w:t xml:space="preserve">Illustrations for </w:t>
      </w:r>
      <w:r w:rsidRPr="00FD3F55">
        <w:rPr>
          <w:color w:val="009FE3" w:themeColor="background2"/>
          <w:sz w:val="20"/>
        </w:rPr>
        <w:t>a starting fund value of £</w:t>
      </w:r>
      <w:r w:rsidR="008D1CB3">
        <w:rPr>
          <w:color w:val="009FE3" w:themeColor="background2"/>
          <w:sz w:val="20"/>
        </w:rPr>
        <w:t>49</w:t>
      </w:r>
      <w:r w:rsidR="00E03BDA">
        <w:rPr>
          <w:color w:val="009FE3" w:themeColor="background2"/>
          <w:sz w:val="20"/>
        </w:rPr>
        <w:t>,</w:t>
      </w:r>
      <w:r w:rsidR="008D1CB3">
        <w:rPr>
          <w:color w:val="009FE3" w:themeColor="background2"/>
          <w:sz w:val="20"/>
        </w:rPr>
        <w:t>0</w:t>
      </w:r>
      <w:r w:rsidRPr="00FD3F55">
        <w:rPr>
          <w:color w:val="009FE3" w:themeColor="background2"/>
          <w:sz w:val="20"/>
        </w:rPr>
        <w:t>00</w:t>
      </w:r>
    </w:p>
    <w:p w14:paraId="6D2BB1A9" w14:textId="468B2F64" w:rsidR="00FD3F55" w:rsidRPr="00FE2F16" w:rsidRDefault="00FD3F55" w:rsidP="006B4574">
      <w:pPr>
        <w:pStyle w:val="ListParagraph"/>
        <w:numPr>
          <w:ilvl w:val="1"/>
          <w:numId w:val="9"/>
        </w:numPr>
        <w:spacing w:before="120" w:after="120" w:line="264" w:lineRule="auto"/>
        <w:ind w:left="567" w:hanging="573"/>
        <w:contextualSpacing w:val="0"/>
        <w:jc w:val="both"/>
        <w:rPr>
          <w:lang w:val="en-GB" w:eastAsia="en-GB" w:bidi="ar-SA"/>
        </w:rPr>
      </w:pPr>
      <w:r w:rsidRPr="001D276F">
        <w:rPr>
          <w:rFonts w:cstheme="minorBidi"/>
          <w:lang w:val="en-GB" w:bidi="ar-SA"/>
        </w:rPr>
        <w:t xml:space="preserve">Note on how to read this </w:t>
      </w:r>
      <w:r w:rsidRPr="00BD5314">
        <w:rPr>
          <w:rFonts w:cstheme="minorBidi"/>
          <w:lang w:val="en-GB" w:bidi="ar-SA"/>
        </w:rPr>
        <w:t xml:space="preserve">table: If an active </w:t>
      </w:r>
      <w:r>
        <w:rPr>
          <w:rFonts w:cstheme="minorBidi"/>
          <w:lang w:val="en-GB" w:bidi="ar-SA"/>
        </w:rPr>
        <w:t>m</w:t>
      </w:r>
      <w:r w:rsidRPr="00BD5314">
        <w:rPr>
          <w:rFonts w:cstheme="minorBidi"/>
          <w:lang w:val="en-GB" w:bidi="ar-SA"/>
        </w:rPr>
        <w:t>ember aged 1</w:t>
      </w:r>
      <w:r w:rsidR="008D1CB3">
        <w:rPr>
          <w:rFonts w:cstheme="minorBidi"/>
          <w:lang w:val="en-GB" w:bidi="ar-SA"/>
        </w:rPr>
        <w:t>6</w:t>
      </w:r>
      <w:r w:rsidRPr="00BD5314">
        <w:rPr>
          <w:rFonts w:cstheme="minorBidi"/>
          <w:lang w:val="en-GB" w:bidi="ar-SA"/>
        </w:rPr>
        <w:t xml:space="preserve"> had £</w:t>
      </w:r>
      <w:r w:rsidR="008D1CB3">
        <w:rPr>
          <w:rFonts w:cstheme="minorBidi"/>
          <w:lang w:val="en-GB" w:bidi="ar-SA"/>
        </w:rPr>
        <w:t>49</w:t>
      </w:r>
      <w:r>
        <w:rPr>
          <w:rFonts w:cstheme="minorBidi"/>
          <w:lang w:val="en-GB" w:bidi="ar-SA"/>
        </w:rPr>
        <w:t>,</w:t>
      </w:r>
      <w:r w:rsidR="008D1CB3">
        <w:rPr>
          <w:rFonts w:cstheme="minorBidi"/>
          <w:lang w:val="en-GB" w:bidi="ar-SA"/>
        </w:rPr>
        <w:t>0</w:t>
      </w:r>
      <w:r w:rsidR="008D1CB3" w:rsidRPr="00184E0B">
        <w:rPr>
          <w:rFonts w:cstheme="minorBidi"/>
          <w:lang w:val="en-GB" w:bidi="ar-SA"/>
        </w:rPr>
        <w:t>00</w:t>
      </w:r>
      <w:r w:rsidR="008D1CB3" w:rsidRPr="00BD5314">
        <w:rPr>
          <w:rFonts w:cstheme="minorBidi"/>
          <w:lang w:val="en-GB" w:bidi="ar-SA"/>
        </w:rPr>
        <w:t xml:space="preserve"> </w:t>
      </w:r>
      <w:r w:rsidRPr="00BD5314">
        <w:rPr>
          <w:rFonts w:cstheme="minorBidi"/>
          <w:lang w:val="en-GB" w:bidi="ar-SA"/>
        </w:rPr>
        <w:t xml:space="preserve">invested in the </w:t>
      </w:r>
      <w:r>
        <w:rPr>
          <w:rFonts w:cstheme="minorBidi"/>
          <w:lang w:val="en-GB" w:bidi="ar-SA"/>
        </w:rPr>
        <w:t>Urenco Drawdown Path</w:t>
      </w:r>
      <w:r w:rsidRPr="00BD5314">
        <w:rPr>
          <w:rFonts w:cstheme="minorBidi"/>
          <w:lang w:val="en-GB" w:bidi="ar-SA"/>
        </w:rPr>
        <w:t xml:space="preserve">, in </w:t>
      </w:r>
      <w:r w:rsidR="008D1CB3">
        <w:rPr>
          <w:rFonts w:cstheme="minorBidi"/>
          <w:lang w:val="en-GB" w:bidi="ar-SA"/>
        </w:rPr>
        <w:t>45</w:t>
      </w:r>
      <w:r w:rsidR="008D1CB3" w:rsidRPr="00BD5314">
        <w:rPr>
          <w:rFonts w:cstheme="minorBidi"/>
          <w:lang w:val="en-GB" w:bidi="ar-SA"/>
        </w:rPr>
        <w:t xml:space="preserve"> </w:t>
      </w:r>
      <w:r w:rsidRPr="00BD5314">
        <w:rPr>
          <w:rFonts w:cstheme="minorBidi"/>
          <w:lang w:val="en-GB" w:bidi="ar-SA"/>
        </w:rPr>
        <w:t>years, the savings pot could grow to £</w:t>
      </w:r>
      <w:r>
        <w:rPr>
          <w:rFonts w:cstheme="minorBidi"/>
          <w:lang w:val="en-GB" w:bidi="ar-SA"/>
        </w:rPr>
        <w:t>1,</w:t>
      </w:r>
      <w:r w:rsidR="00F57CA9">
        <w:rPr>
          <w:rFonts w:cstheme="minorBidi"/>
          <w:lang w:val="en-GB" w:bidi="ar-SA"/>
        </w:rPr>
        <w:t>597,712.48</w:t>
      </w:r>
      <w:r w:rsidR="008D1CB3">
        <w:rPr>
          <w:rFonts w:cstheme="minorBidi"/>
          <w:lang w:val="en-GB" w:bidi="ar-SA"/>
        </w:rPr>
        <w:t xml:space="preserve"> </w:t>
      </w:r>
      <w:r w:rsidRPr="00BD5314">
        <w:rPr>
          <w:rFonts w:cstheme="minorBidi"/>
          <w:lang w:val="en-GB" w:bidi="ar-SA"/>
        </w:rPr>
        <w:t>if no charges are applied but to £</w:t>
      </w:r>
      <w:r w:rsidR="00F57CA9">
        <w:rPr>
          <w:rFonts w:cstheme="minorBidi"/>
          <w:lang w:val="en-GB" w:bidi="ar-SA"/>
        </w:rPr>
        <w:t>1,410,957.30</w:t>
      </w:r>
      <w:r w:rsidR="008D1CB3" w:rsidRPr="00BD5314">
        <w:rPr>
          <w:rFonts w:cstheme="minorBidi"/>
          <w:lang w:val="en-GB" w:bidi="ar-SA"/>
        </w:rPr>
        <w:t xml:space="preserve"> </w:t>
      </w:r>
      <w:r w:rsidRPr="00BD5314">
        <w:rPr>
          <w:rFonts w:cstheme="minorBidi"/>
          <w:lang w:val="en-GB" w:bidi="ar-SA"/>
        </w:rPr>
        <w:t xml:space="preserve">with charges applied. </w:t>
      </w:r>
    </w:p>
    <w:p w14:paraId="5AD3BBC0" w14:textId="355C6E98" w:rsidR="008D1CB3" w:rsidRPr="008D1CB3" w:rsidRDefault="008D1CB3" w:rsidP="00FE2F16">
      <w:pPr>
        <w:spacing w:before="120" w:after="120" w:line="264" w:lineRule="auto"/>
        <w:jc w:val="both"/>
        <w:rPr>
          <w:lang w:val="en-GB" w:eastAsia="en-GB" w:bidi="ar-SA"/>
        </w:rPr>
      </w:pPr>
      <w:r w:rsidRPr="008D1CB3">
        <w:rPr>
          <w:noProof/>
          <w:lang w:val="en-GB" w:eastAsia="en-GB" w:bidi="ar-SA"/>
        </w:rPr>
        <w:drawing>
          <wp:inline distT="0" distB="0" distL="0" distR="0" wp14:anchorId="360B836D" wp14:editId="18892083">
            <wp:extent cx="6264910" cy="1633220"/>
            <wp:effectExtent l="0" t="0" r="2540" b="5080"/>
            <wp:docPr id="9" name="Picture 9" descr="A group of number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numbers on a table&#10;&#10;Description automatically generated"/>
                    <pic:cNvPicPr/>
                  </pic:nvPicPr>
                  <pic:blipFill>
                    <a:blip r:embed="rId16"/>
                    <a:stretch>
                      <a:fillRect/>
                    </a:stretch>
                  </pic:blipFill>
                  <pic:spPr>
                    <a:xfrm>
                      <a:off x="0" y="0"/>
                      <a:ext cx="6264910" cy="1633220"/>
                    </a:xfrm>
                    <a:prstGeom prst="rect">
                      <a:avLst/>
                    </a:prstGeom>
                  </pic:spPr>
                </pic:pic>
              </a:graphicData>
            </a:graphic>
          </wp:inline>
        </w:drawing>
      </w:r>
    </w:p>
    <w:p w14:paraId="4A5C7A66" w14:textId="77777777" w:rsidR="00F57CA9" w:rsidRDefault="00F57CA9" w:rsidP="00FD3F55">
      <w:pPr>
        <w:pStyle w:val="Heading3"/>
        <w:rPr>
          <w:color w:val="009FE3" w:themeColor="background2"/>
        </w:rPr>
      </w:pPr>
    </w:p>
    <w:p w14:paraId="5049850D" w14:textId="77777777" w:rsidR="00F57CA9" w:rsidRDefault="00F57CA9" w:rsidP="00FD3F55">
      <w:pPr>
        <w:pStyle w:val="Heading3"/>
        <w:rPr>
          <w:color w:val="009FE3" w:themeColor="background2"/>
        </w:rPr>
      </w:pPr>
    </w:p>
    <w:p w14:paraId="307DCEEA" w14:textId="77777777" w:rsidR="00F57CA9" w:rsidRDefault="00F57CA9" w:rsidP="00FD3F55">
      <w:pPr>
        <w:pStyle w:val="Heading3"/>
        <w:rPr>
          <w:color w:val="009FE3" w:themeColor="background2"/>
        </w:rPr>
      </w:pPr>
    </w:p>
    <w:p w14:paraId="3A6E01B3" w14:textId="77777777" w:rsidR="00F57CA9" w:rsidRDefault="00F57CA9" w:rsidP="00FD3F55">
      <w:pPr>
        <w:pStyle w:val="Heading3"/>
        <w:rPr>
          <w:color w:val="009FE3" w:themeColor="background2"/>
        </w:rPr>
      </w:pPr>
    </w:p>
    <w:p w14:paraId="45AD9D12" w14:textId="6577A7D2" w:rsidR="00FD3F55" w:rsidRPr="00FD3F55" w:rsidRDefault="00FD3F55" w:rsidP="00FD3F55">
      <w:pPr>
        <w:pStyle w:val="Heading3"/>
        <w:rPr>
          <w:color w:val="009FE3" w:themeColor="background2"/>
        </w:rPr>
      </w:pPr>
      <w:r w:rsidRPr="00FD3F55">
        <w:rPr>
          <w:color w:val="009FE3" w:themeColor="background2"/>
        </w:rPr>
        <w:t xml:space="preserve">Illustrations for </w:t>
      </w:r>
      <w:r w:rsidRPr="00FD3F55">
        <w:rPr>
          <w:color w:val="009FE3" w:themeColor="background2"/>
          <w:sz w:val="20"/>
        </w:rPr>
        <w:t>a starting fund value of £</w:t>
      </w:r>
      <w:r w:rsidR="008D1CB3">
        <w:rPr>
          <w:color w:val="009FE3" w:themeColor="background2"/>
          <w:sz w:val="20"/>
        </w:rPr>
        <w:t>107</w:t>
      </w:r>
      <w:r w:rsidR="00E03BDA">
        <w:rPr>
          <w:color w:val="009FE3" w:themeColor="background2"/>
          <w:sz w:val="20"/>
        </w:rPr>
        <w:t>,</w:t>
      </w:r>
      <w:r w:rsidR="008D1CB3">
        <w:rPr>
          <w:color w:val="009FE3" w:themeColor="background2"/>
          <w:sz w:val="20"/>
        </w:rPr>
        <w:t>0</w:t>
      </w:r>
      <w:r w:rsidRPr="00FD3F55">
        <w:rPr>
          <w:color w:val="009FE3" w:themeColor="background2"/>
          <w:sz w:val="20"/>
        </w:rPr>
        <w:t>00</w:t>
      </w:r>
    </w:p>
    <w:p w14:paraId="10E44E03" w14:textId="7DDFFB02" w:rsidR="002B7E60" w:rsidRPr="00FE2F16" w:rsidRDefault="00FD3F55" w:rsidP="006B4574">
      <w:pPr>
        <w:pStyle w:val="ListParagraph"/>
        <w:numPr>
          <w:ilvl w:val="1"/>
          <w:numId w:val="9"/>
        </w:numPr>
        <w:spacing w:before="120" w:after="120" w:line="264" w:lineRule="auto"/>
        <w:ind w:left="567" w:hanging="573"/>
        <w:contextualSpacing w:val="0"/>
        <w:jc w:val="both"/>
        <w:rPr>
          <w:lang w:val="en-GB" w:eastAsia="en-GB" w:bidi="ar-SA"/>
        </w:rPr>
      </w:pPr>
      <w:r w:rsidRPr="001D276F">
        <w:rPr>
          <w:rFonts w:cstheme="minorBidi"/>
          <w:lang w:val="en-GB" w:bidi="ar-SA"/>
        </w:rPr>
        <w:t xml:space="preserve">Note on how to read this </w:t>
      </w:r>
      <w:r w:rsidRPr="00BD5314">
        <w:rPr>
          <w:rFonts w:cstheme="minorBidi"/>
          <w:lang w:val="en-GB" w:bidi="ar-SA"/>
        </w:rPr>
        <w:t xml:space="preserve">table: If an active </w:t>
      </w:r>
      <w:r>
        <w:rPr>
          <w:rFonts w:cstheme="minorBidi"/>
          <w:lang w:val="en-GB" w:bidi="ar-SA"/>
        </w:rPr>
        <w:t>m</w:t>
      </w:r>
      <w:r w:rsidRPr="00BD5314">
        <w:rPr>
          <w:rFonts w:cstheme="minorBidi"/>
          <w:lang w:val="en-GB" w:bidi="ar-SA"/>
        </w:rPr>
        <w:t>ember aged 1</w:t>
      </w:r>
      <w:r w:rsidR="008D1CB3">
        <w:rPr>
          <w:rFonts w:cstheme="minorBidi"/>
          <w:lang w:val="en-GB" w:bidi="ar-SA"/>
        </w:rPr>
        <w:t>6</w:t>
      </w:r>
      <w:r w:rsidRPr="00BD5314">
        <w:rPr>
          <w:rFonts w:cstheme="minorBidi"/>
          <w:lang w:val="en-GB" w:bidi="ar-SA"/>
        </w:rPr>
        <w:t xml:space="preserve"> had </w:t>
      </w:r>
      <w:r w:rsidR="00F57CA9">
        <w:rPr>
          <w:rFonts w:cstheme="minorBidi"/>
          <w:lang w:val="en-GB" w:bidi="ar-SA"/>
        </w:rPr>
        <w:t>£</w:t>
      </w:r>
      <w:r w:rsidR="008D1CB3">
        <w:rPr>
          <w:rFonts w:cstheme="minorBidi"/>
          <w:lang w:val="en-GB" w:bidi="ar-SA"/>
        </w:rPr>
        <w:t>107</w:t>
      </w:r>
      <w:r>
        <w:rPr>
          <w:rFonts w:cstheme="minorBidi"/>
          <w:lang w:val="en-GB" w:bidi="ar-SA"/>
        </w:rPr>
        <w:t>,</w:t>
      </w:r>
      <w:r w:rsidR="008D1CB3">
        <w:rPr>
          <w:rFonts w:cstheme="minorBidi"/>
          <w:lang w:val="en-GB" w:bidi="ar-SA"/>
        </w:rPr>
        <w:t>0</w:t>
      </w:r>
      <w:r w:rsidR="008D1CB3" w:rsidRPr="00184E0B">
        <w:rPr>
          <w:rFonts w:cstheme="minorBidi"/>
          <w:lang w:val="en-GB" w:bidi="ar-SA"/>
        </w:rPr>
        <w:t>00</w:t>
      </w:r>
      <w:r w:rsidR="008D1CB3" w:rsidRPr="00BD5314">
        <w:rPr>
          <w:rFonts w:cstheme="minorBidi"/>
          <w:lang w:val="en-GB" w:bidi="ar-SA"/>
        </w:rPr>
        <w:t xml:space="preserve"> </w:t>
      </w:r>
      <w:r w:rsidRPr="00BD5314">
        <w:rPr>
          <w:rFonts w:cstheme="minorBidi"/>
          <w:lang w:val="en-GB" w:bidi="ar-SA"/>
        </w:rPr>
        <w:t xml:space="preserve">invested in the </w:t>
      </w:r>
      <w:r>
        <w:rPr>
          <w:rFonts w:cstheme="minorBidi"/>
          <w:lang w:val="en-GB" w:bidi="ar-SA"/>
        </w:rPr>
        <w:t>Urenco Drawdown Path</w:t>
      </w:r>
      <w:r w:rsidRPr="00BD5314">
        <w:rPr>
          <w:rFonts w:cstheme="minorBidi"/>
          <w:lang w:val="en-GB" w:bidi="ar-SA"/>
        </w:rPr>
        <w:t xml:space="preserve">, in </w:t>
      </w:r>
      <w:r>
        <w:rPr>
          <w:rFonts w:cstheme="minorBidi"/>
          <w:lang w:val="en-GB" w:bidi="ar-SA"/>
        </w:rPr>
        <w:t>4</w:t>
      </w:r>
      <w:r w:rsidR="00F57CA9">
        <w:rPr>
          <w:rFonts w:cstheme="minorBidi"/>
          <w:lang w:val="en-GB" w:bidi="ar-SA"/>
        </w:rPr>
        <w:t>5</w:t>
      </w:r>
      <w:r w:rsidRPr="00BD5314">
        <w:rPr>
          <w:rFonts w:cstheme="minorBidi"/>
          <w:lang w:val="en-GB" w:bidi="ar-SA"/>
        </w:rPr>
        <w:t xml:space="preserve"> years, the savings pot could grow to £</w:t>
      </w:r>
      <w:r>
        <w:rPr>
          <w:rFonts w:cstheme="minorBidi"/>
          <w:lang w:val="en-GB" w:bidi="ar-SA"/>
        </w:rPr>
        <w:t>1,</w:t>
      </w:r>
      <w:r w:rsidR="00F57CA9">
        <w:rPr>
          <w:rFonts w:cstheme="minorBidi"/>
          <w:lang w:val="en-GB" w:bidi="ar-SA"/>
        </w:rPr>
        <w:t>735,130.56</w:t>
      </w:r>
      <w:r w:rsidR="008D1CB3">
        <w:rPr>
          <w:rFonts w:cstheme="minorBidi"/>
          <w:lang w:val="en-GB" w:bidi="ar-SA"/>
        </w:rPr>
        <w:t xml:space="preserve"> </w:t>
      </w:r>
      <w:r w:rsidRPr="00BD5314">
        <w:rPr>
          <w:rFonts w:cstheme="minorBidi"/>
          <w:lang w:val="en-GB" w:bidi="ar-SA"/>
        </w:rPr>
        <w:t>if no charges are applied but to £</w:t>
      </w:r>
      <w:r>
        <w:rPr>
          <w:rFonts w:cstheme="minorBidi"/>
          <w:lang w:val="en-GB" w:bidi="ar-SA"/>
        </w:rPr>
        <w:t>1,</w:t>
      </w:r>
      <w:r w:rsidR="00F57CA9">
        <w:rPr>
          <w:rFonts w:cstheme="minorBidi"/>
          <w:lang w:val="en-GB" w:bidi="ar-SA"/>
        </w:rPr>
        <w:t>523,020.44</w:t>
      </w:r>
      <w:r w:rsidR="008D1CB3">
        <w:rPr>
          <w:rFonts w:cstheme="minorBidi"/>
          <w:lang w:val="en-GB" w:bidi="ar-SA"/>
        </w:rPr>
        <w:t xml:space="preserve"> </w:t>
      </w:r>
      <w:r w:rsidRPr="00BD5314">
        <w:rPr>
          <w:rFonts w:cstheme="minorBidi"/>
          <w:lang w:val="en-GB" w:bidi="ar-SA"/>
        </w:rPr>
        <w:t xml:space="preserve">with charges applied. </w:t>
      </w:r>
    </w:p>
    <w:p w14:paraId="7D0B4F3A" w14:textId="4B973C02" w:rsidR="008D1CB3" w:rsidRPr="008D1CB3" w:rsidRDefault="008D1CB3" w:rsidP="00FE2F16">
      <w:pPr>
        <w:spacing w:before="120" w:after="120" w:line="264" w:lineRule="auto"/>
        <w:ind w:left="-6"/>
        <w:jc w:val="both"/>
        <w:rPr>
          <w:lang w:val="en-GB" w:eastAsia="en-GB" w:bidi="ar-SA"/>
        </w:rPr>
      </w:pPr>
      <w:r w:rsidRPr="008D1CB3">
        <w:rPr>
          <w:noProof/>
          <w:lang w:val="en-GB" w:eastAsia="en-GB" w:bidi="ar-SA"/>
        </w:rPr>
        <w:drawing>
          <wp:inline distT="0" distB="0" distL="0" distR="0" wp14:anchorId="03E5E3BC" wp14:editId="65E11B03">
            <wp:extent cx="6264910" cy="1657985"/>
            <wp:effectExtent l="0" t="0" r="2540" b="0"/>
            <wp:docPr id="10" name="Picture 10" descr="A group of rectangular white box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rectangular white boxes with text&#10;&#10;Description automatically generated with medium confidence"/>
                    <pic:cNvPicPr/>
                  </pic:nvPicPr>
                  <pic:blipFill>
                    <a:blip r:embed="rId17"/>
                    <a:stretch>
                      <a:fillRect/>
                    </a:stretch>
                  </pic:blipFill>
                  <pic:spPr>
                    <a:xfrm>
                      <a:off x="0" y="0"/>
                      <a:ext cx="6264910" cy="1657985"/>
                    </a:xfrm>
                    <a:prstGeom prst="rect">
                      <a:avLst/>
                    </a:prstGeom>
                  </pic:spPr>
                </pic:pic>
              </a:graphicData>
            </a:graphic>
          </wp:inline>
        </w:drawing>
      </w:r>
    </w:p>
    <w:sectPr w:rsidR="008D1CB3" w:rsidRPr="008D1CB3" w:rsidSect="0010401A">
      <w:pgSz w:w="11906" w:h="16838"/>
      <w:pgMar w:top="961" w:right="1020" w:bottom="1440" w:left="10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71FF" w14:textId="77777777" w:rsidR="00E91428" w:rsidRPr="00E05050" w:rsidRDefault="00E91428" w:rsidP="00E05050">
      <w:pPr>
        <w:pStyle w:val="Heading2"/>
        <w:spacing w:before="0" w:after="0"/>
        <w:rPr>
          <w:rFonts w:ascii="Arial" w:eastAsiaTheme="minorHAnsi" w:hAnsi="Arial"/>
          <w:b/>
          <w:bCs w:val="0"/>
          <w:iCs w:val="0"/>
          <w:color w:val="auto"/>
          <w:sz w:val="20"/>
          <w:szCs w:val="20"/>
          <w:lang w:val="en-US"/>
        </w:rPr>
      </w:pPr>
      <w:r>
        <w:separator/>
      </w:r>
    </w:p>
  </w:endnote>
  <w:endnote w:type="continuationSeparator" w:id="0">
    <w:p w14:paraId="7395C54D" w14:textId="77777777" w:rsidR="00E91428" w:rsidRPr="00E05050" w:rsidRDefault="00E91428" w:rsidP="00E05050">
      <w:pPr>
        <w:pStyle w:val="Heading2"/>
        <w:spacing w:before="0" w:after="0"/>
        <w:rPr>
          <w:rFonts w:ascii="Arial" w:eastAsiaTheme="minorHAnsi" w:hAnsi="Arial"/>
          <w:b/>
          <w:bCs w:val="0"/>
          <w:iCs w:val="0"/>
          <w:color w:val="auto"/>
          <w:sz w:val="20"/>
          <w:szCs w:val="20"/>
          <w:lang w:val="en-US"/>
        </w:rPr>
      </w:pPr>
      <w:r>
        <w:continuationSeparator/>
      </w:r>
    </w:p>
  </w:endnote>
  <w:endnote w:type="continuationNotice" w:id="1">
    <w:p w14:paraId="640F8FDA" w14:textId="77777777" w:rsidR="00E91428" w:rsidRDefault="00E91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23E9" w14:textId="77777777" w:rsidR="00293241" w:rsidRDefault="00293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B882" w14:textId="77777777" w:rsidR="00F65CA3" w:rsidRDefault="00F65CA3" w:rsidP="00847A5D">
    <w:pPr>
      <w:spacing w:after="120"/>
    </w:pPr>
    <w:r w:rsidRPr="004F015E">
      <w:rPr>
        <w:noProof/>
        <w:color w:val="797979"/>
        <w:sz w:val="13"/>
        <w:szCs w:val="13"/>
        <w:lang w:val="en-GB" w:eastAsia="en-GB" w:bidi="ar-SA"/>
      </w:rPr>
      <mc:AlternateContent>
        <mc:Choice Requires="wps">
          <w:drawing>
            <wp:anchor distT="45720" distB="45720" distL="114300" distR="114300" simplePos="0" relativeHeight="251656704" behindDoc="0" locked="0" layoutInCell="1" allowOverlap="1" wp14:anchorId="7A0E6C4C" wp14:editId="165D9241">
              <wp:simplePos x="0" y="0"/>
              <wp:positionH relativeFrom="margin">
                <wp:align>right</wp:align>
              </wp:positionH>
              <wp:positionV relativeFrom="paragraph">
                <wp:posOffset>5080</wp:posOffset>
              </wp:positionV>
              <wp:extent cx="3768090" cy="125095"/>
              <wp:effectExtent l="0" t="0" r="3810" b="82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25095"/>
                      </a:xfrm>
                      <a:prstGeom prst="rect">
                        <a:avLst/>
                      </a:prstGeom>
                      <a:solidFill>
                        <a:srgbClr val="FFFFFF"/>
                      </a:solidFill>
                      <a:ln w="9525">
                        <a:noFill/>
                        <a:miter lim="800000"/>
                        <a:headEnd/>
                        <a:tailEnd/>
                      </a:ln>
                    </wps:spPr>
                    <wps:txbx>
                      <w:txbxContent>
                        <w:p w14:paraId="72EAF23C" w14:textId="1A718AA4" w:rsidR="00F65CA3" w:rsidRPr="002C1FBA" w:rsidRDefault="00000000" w:rsidP="005E47AA">
                          <w:pPr>
                            <w:jc w:val="right"/>
                            <w:rPr>
                              <w:rFonts w:cs="Segoe UI"/>
                              <w:color w:val="797979"/>
                              <w:sz w:val="12"/>
                              <w:szCs w:val="12"/>
                            </w:rPr>
                          </w:pPr>
                          <w:sdt>
                            <w:sdtPr>
                              <w:rPr>
                                <w:sz w:val="12"/>
                                <w:szCs w:val="12"/>
                              </w:rPr>
                              <w:alias w:val="Client Name"/>
                              <w:tag w:val="Client Name"/>
                              <w:id w:val="1688403083"/>
                              <w:text/>
                            </w:sdtPr>
                            <w:sdtContent>
                              <w:r w:rsidR="00F65CA3">
                                <w:rPr>
                                  <w:sz w:val="12"/>
                                  <w:szCs w:val="12"/>
                                </w:rPr>
                                <w:t>Urenco UK Pension Scheme</w:t>
                              </w:r>
                            </w:sdtContent>
                          </w:sdt>
                          <w:r w:rsidR="00F65CA3" w:rsidRPr="002C1FBA">
                            <w:rPr>
                              <w:sz w:val="12"/>
                              <w:szCs w:val="12"/>
                            </w:rPr>
                            <w:t xml:space="preserve"> </w:t>
                          </w:r>
                          <w:r w:rsidR="00F65CA3">
                            <w:rPr>
                              <w:sz w:val="12"/>
                              <w:szCs w:val="12"/>
                            </w:rPr>
                            <w:t xml:space="preserve"> </w:t>
                          </w:r>
                          <w:r w:rsidR="00F65CA3" w:rsidRPr="002C1FBA">
                            <w:rPr>
                              <w:color w:val="009FE3"/>
                              <w:sz w:val="12"/>
                              <w:szCs w:val="12"/>
                            </w:rPr>
                            <w:t xml:space="preserve"> |   </w:t>
                          </w:r>
                          <w:r w:rsidR="00F65CA3">
                            <w:rPr>
                              <w:sz w:val="12"/>
                              <w:szCs w:val="12"/>
                            </w:rPr>
                            <w:t xml:space="preserve">Chair’s Statement   </w:t>
                          </w:r>
                          <w:r w:rsidR="00F65CA3" w:rsidRPr="002C1FBA">
                            <w:rPr>
                              <w:color w:val="009FE3"/>
                              <w:sz w:val="12"/>
                              <w:szCs w:val="12"/>
                            </w:rPr>
                            <w:t xml:space="preserve">| </w:t>
                          </w:r>
                          <w:r w:rsidR="00F65CA3">
                            <w:rPr>
                              <w:sz w:val="12"/>
                              <w:szCs w:val="12"/>
                            </w:rPr>
                            <w:t xml:space="preserve"> </w:t>
                          </w:r>
                          <w:r w:rsidR="00F65CA3" w:rsidRPr="002C1FBA">
                            <w:rPr>
                              <w:color w:val="797979"/>
                              <w:sz w:val="12"/>
                              <w:szCs w:val="12"/>
                            </w:rPr>
                            <w:t xml:space="preserve"> </w:t>
                          </w:r>
                          <w:r w:rsidR="00F57CA9" w:rsidRPr="00F57CA9">
                            <w:rPr>
                              <w:sz w:val="12"/>
                              <w:szCs w:val="12"/>
                            </w:rPr>
                            <w:t>16</w:t>
                          </w:r>
                          <w:r w:rsidR="00F65CA3" w:rsidRPr="00F57CA9">
                            <w:rPr>
                              <w:sz w:val="12"/>
                              <w:szCs w:val="12"/>
                            </w:rPr>
                            <w:t xml:space="preserve"> </w:t>
                          </w:r>
                          <w:r w:rsidR="008D1CB3" w:rsidRPr="00F57CA9">
                            <w:rPr>
                              <w:sz w:val="12"/>
                              <w:szCs w:val="12"/>
                            </w:rPr>
                            <w:t>August</w:t>
                          </w:r>
                          <w:r w:rsidR="008D1CB3">
                            <w:rPr>
                              <w:sz w:val="12"/>
                              <w:szCs w:val="12"/>
                              <w:lang w:val="en-GB"/>
                            </w:rPr>
                            <w:t xml:space="preserve"> 2023</w:t>
                          </w:r>
                        </w:p>
                        <w:p w14:paraId="3A5BD38B" w14:textId="77777777" w:rsidR="00F65CA3" w:rsidRPr="002C1FBA" w:rsidRDefault="00F65CA3" w:rsidP="005E47AA">
                          <w:pPr>
                            <w:jc w:val="right"/>
                            <w:rPr>
                              <w:rFonts w:cs="Segoe UI"/>
                              <w:color w:val="797979"/>
                              <w:sz w:val="12"/>
                              <w:szCs w:val="1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E6C4C" id="_x0000_t202" coordsize="21600,21600" o:spt="202" path="m,l,21600r21600,l21600,xe">
              <v:stroke joinstyle="miter"/>
              <v:path gradientshapeok="t" o:connecttype="rect"/>
            </v:shapetype>
            <v:shape id="Text Box 2" o:spid="_x0000_s1026" type="#_x0000_t202" style="position:absolute;margin-left:245.5pt;margin-top:.4pt;width:296.7pt;height:9.8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" stroked="f">
              <v:textbox inset="0,0,0,0">
                <w:txbxContent>
                  <w:p w14:paraId="72EAF23C" w14:textId="1A718AA4" w:rsidR="00F65CA3" w:rsidRPr="002C1FBA" w:rsidRDefault="00000000" w:rsidP="005E47AA">
                    <w:pPr>
                      <w:jc w:val="right"/>
                      <w:rPr>
                        <w:rFonts w:cs="Segoe UI"/>
                        <w:color w:val="797979"/>
                        <w:sz w:val="12"/>
                        <w:szCs w:val="12"/>
                      </w:rPr>
                    </w:pPr>
                    <w:sdt>
                      <w:sdtPr>
                        <w:rPr>
                          <w:sz w:val="12"/>
                          <w:szCs w:val="12"/>
                        </w:rPr>
                        <w:alias w:val="Client Name"/>
                        <w:tag w:val="Client Name"/>
                        <w:id w:val="1688403083"/>
                        <w:text/>
                      </w:sdtPr>
                      <w:sdtContent>
                        <w:r w:rsidR="00F65CA3">
                          <w:rPr>
                            <w:sz w:val="12"/>
                            <w:szCs w:val="12"/>
                          </w:rPr>
                          <w:t>Urenco UK Pension Scheme</w:t>
                        </w:r>
                      </w:sdtContent>
                    </w:sdt>
                    <w:r w:rsidR="00F65CA3" w:rsidRPr="002C1FBA">
                      <w:rPr>
                        <w:sz w:val="12"/>
                        <w:szCs w:val="12"/>
                      </w:rPr>
                      <w:t xml:space="preserve"> </w:t>
                    </w:r>
                    <w:r w:rsidR="00F65CA3">
                      <w:rPr>
                        <w:sz w:val="12"/>
                        <w:szCs w:val="12"/>
                      </w:rPr>
                      <w:t xml:space="preserve"> </w:t>
                    </w:r>
                    <w:r w:rsidR="00F65CA3" w:rsidRPr="002C1FBA">
                      <w:rPr>
                        <w:color w:val="009FE3"/>
                        <w:sz w:val="12"/>
                        <w:szCs w:val="12"/>
                      </w:rPr>
                      <w:t xml:space="preserve"> |   </w:t>
                    </w:r>
                    <w:r w:rsidR="00F65CA3">
                      <w:rPr>
                        <w:sz w:val="12"/>
                        <w:szCs w:val="12"/>
                      </w:rPr>
                      <w:t xml:space="preserve">Chair’s Statement   </w:t>
                    </w:r>
                    <w:r w:rsidR="00F65CA3" w:rsidRPr="002C1FBA">
                      <w:rPr>
                        <w:color w:val="009FE3"/>
                        <w:sz w:val="12"/>
                        <w:szCs w:val="12"/>
                      </w:rPr>
                      <w:t xml:space="preserve">| </w:t>
                    </w:r>
                    <w:r w:rsidR="00F65CA3">
                      <w:rPr>
                        <w:sz w:val="12"/>
                        <w:szCs w:val="12"/>
                      </w:rPr>
                      <w:t xml:space="preserve"> </w:t>
                    </w:r>
                    <w:r w:rsidR="00F65CA3" w:rsidRPr="002C1FBA">
                      <w:rPr>
                        <w:color w:val="797979"/>
                        <w:sz w:val="12"/>
                        <w:szCs w:val="12"/>
                      </w:rPr>
                      <w:t xml:space="preserve"> </w:t>
                    </w:r>
                    <w:r w:rsidR="00F57CA9" w:rsidRPr="00F57CA9">
                      <w:rPr>
                        <w:sz w:val="12"/>
                        <w:szCs w:val="12"/>
                      </w:rPr>
                      <w:t>16</w:t>
                    </w:r>
                    <w:r w:rsidR="00F65CA3" w:rsidRPr="00F57CA9">
                      <w:rPr>
                        <w:sz w:val="12"/>
                        <w:szCs w:val="12"/>
                      </w:rPr>
                      <w:t xml:space="preserve"> </w:t>
                    </w:r>
                    <w:r w:rsidR="008D1CB3" w:rsidRPr="00F57CA9">
                      <w:rPr>
                        <w:sz w:val="12"/>
                        <w:szCs w:val="12"/>
                      </w:rPr>
                      <w:t>August</w:t>
                    </w:r>
                    <w:r w:rsidR="008D1CB3">
                      <w:rPr>
                        <w:sz w:val="12"/>
                        <w:szCs w:val="12"/>
                        <w:lang w:val="en-GB"/>
                      </w:rPr>
                      <w:t xml:space="preserve"> 2023</w:t>
                    </w:r>
                  </w:p>
                  <w:p w14:paraId="3A5BD38B" w14:textId="77777777" w:rsidR="00F65CA3" w:rsidRPr="002C1FBA" w:rsidRDefault="00F65CA3" w:rsidP="005E47AA">
                    <w:pPr>
                      <w:jc w:val="right"/>
                      <w:rPr>
                        <w:rFonts w:cs="Segoe UI"/>
                        <w:color w:val="797979"/>
                        <w:sz w:val="12"/>
                        <w:szCs w:val="12"/>
                      </w:rPr>
                    </w:pPr>
                  </w:p>
                </w:txbxContent>
              </v:textbox>
              <w10:wrap type="square" anchorx="margin"/>
            </v:shape>
          </w:pict>
        </mc:Fallback>
      </mc:AlternateContent>
    </w:r>
  </w:p>
  <w:p w14:paraId="5078DE4E" w14:textId="2C569C07" w:rsidR="00F65CA3" w:rsidRPr="007223DA" w:rsidRDefault="00F65CA3" w:rsidP="00847A5D">
    <w:pPr>
      <w:pStyle w:val="Footer"/>
      <w:rPr>
        <w:sz w:val="16"/>
        <w:szCs w:val="16"/>
      </w:rPr>
    </w:pPr>
    <w:r w:rsidRPr="004F015E">
      <w:rPr>
        <w:noProof/>
        <w:color w:val="797979"/>
        <w:sz w:val="13"/>
        <w:szCs w:val="13"/>
        <w:lang w:val="en-GB" w:eastAsia="en-GB" w:bidi="ar-SA"/>
      </w:rPr>
      <mc:AlternateContent>
        <mc:Choice Requires="wps">
          <w:drawing>
            <wp:anchor distT="45720" distB="45720" distL="114300" distR="114300" simplePos="0" relativeHeight="251657728" behindDoc="0" locked="0" layoutInCell="1" allowOverlap="1" wp14:anchorId="1EC077CB" wp14:editId="58C078B7">
              <wp:simplePos x="0" y="0"/>
              <wp:positionH relativeFrom="margin">
                <wp:align>right</wp:align>
              </wp:positionH>
              <wp:positionV relativeFrom="paragraph">
                <wp:posOffset>-15240</wp:posOffset>
              </wp:positionV>
              <wp:extent cx="3768090" cy="1404620"/>
              <wp:effectExtent l="0" t="0" r="381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404620"/>
                      </a:xfrm>
                      <a:prstGeom prst="rect">
                        <a:avLst/>
                      </a:prstGeom>
                      <a:solidFill>
                        <a:srgbClr val="FFFFFF"/>
                      </a:solidFill>
                      <a:ln w="9525">
                        <a:noFill/>
                        <a:miter lim="800000"/>
                        <a:headEnd/>
                        <a:tailEnd/>
                      </a:ln>
                    </wps:spPr>
                    <wps:txbx>
                      <w:txbxContent>
                        <w:p w14:paraId="01348878" w14:textId="7BCD8A33" w:rsidR="00F65CA3" w:rsidRPr="00112676" w:rsidRDefault="00F65CA3" w:rsidP="005E47AA">
                          <w:pPr>
                            <w:jc w:val="right"/>
                            <w:rPr>
                              <w:rFonts w:cs="Segoe UI"/>
                              <w:sz w:val="12"/>
                              <w:szCs w:val="12"/>
                            </w:rPr>
                          </w:pPr>
                          <w:r w:rsidRPr="00112676">
                            <w:rPr>
                              <w:sz w:val="12"/>
                              <w:szCs w:val="12"/>
                            </w:rPr>
                            <w:fldChar w:fldCharType="begin"/>
                          </w:r>
                          <w:r w:rsidRPr="00112676">
                            <w:rPr>
                              <w:sz w:val="12"/>
                              <w:szCs w:val="12"/>
                            </w:rPr>
                            <w:instrText xml:space="preserve"> PAGE   \* MERGEFORMAT </w:instrText>
                          </w:r>
                          <w:r w:rsidRPr="00112676">
                            <w:rPr>
                              <w:sz w:val="12"/>
                              <w:szCs w:val="12"/>
                            </w:rPr>
                            <w:fldChar w:fldCharType="separate"/>
                          </w:r>
                          <w:r w:rsidR="004A62AD">
                            <w:rPr>
                              <w:noProof/>
                              <w:sz w:val="12"/>
                              <w:szCs w:val="12"/>
                            </w:rPr>
                            <w:t>13</w:t>
                          </w:r>
                          <w:r w:rsidRPr="00112676">
                            <w:rPr>
                              <w:noProof/>
                              <w:sz w:val="12"/>
                              <w:szCs w:val="12"/>
                            </w:rPr>
                            <w:fldChar w:fldCharType="end"/>
                          </w:r>
                          <w:r w:rsidRPr="00112676">
                            <w:rPr>
                              <w:noProof/>
                              <w:sz w:val="12"/>
                              <w:szCs w:val="12"/>
                            </w:rPr>
                            <w:t xml:space="preserve"> of </w:t>
                          </w:r>
                          <w:r w:rsidRPr="00112676">
                            <w:rPr>
                              <w:noProof/>
                              <w:sz w:val="12"/>
                              <w:szCs w:val="12"/>
                            </w:rPr>
                            <w:fldChar w:fldCharType="begin"/>
                          </w:r>
                          <w:r w:rsidRPr="00112676">
                            <w:rPr>
                              <w:noProof/>
                              <w:sz w:val="12"/>
                              <w:szCs w:val="12"/>
                            </w:rPr>
                            <w:instrText xml:space="preserve"> NUMPAGES   \* MERGEFORMAT </w:instrText>
                          </w:r>
                          <w:r w:rsidRPr="00112676">
                            <w:rPr>
                              <w:noProof/>
                              <w:sz w:val="12"/>
                              <w:szCs w:val="12"/>
                            </w:rPr>
                            <w:fldChar w:fldCharType="separate"/>
                          </w:r>
                          <w:r w:rsidR="004A62AD">
                            <w:rPr>
                              <w:noProof/>
                              <w:sz w:val="12"/>
                              <w:szCs w:val="12"/>
                            </w:rPr>
                            <w:t>15</w:t>
                          </w:r>
                          <w:r w:rsidRPr="00112676">
                            <w:rPr>
                              <w:noProof/>
                              <w:sz w:val="12"/>
                              <w:szCs w:val="12"/>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077CB" id="_x0000_s1027" type="#_x0000_t202" style="position:absolute;margin-left:245.5pt;margin-top:-1.2pt;width:296.7pt;height:110.6pt;z-index:251657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" stroked="f">
              <v:textbox style="mso-fit-shape-to-text:t" inset="0,0,0,0">
                <w:txbxContent>
                  <w:p w14:paraId="01348878" w14:textId="7BCD8A33" w:rsidR="00F65CA3" w:rsidRPr="00112676" w:rsidRDefault="00F65CA3" w:rsidP="005E47AA">
                    <w:pPr>
                      <w:jc w:val="right"/>
                      <w:rPr>
                        <w:rFonts w:cs="Segoe UI"/>
                        <w:sz w:val="12"/>
                        <w:szCs w:val="12"/>
                      </w:rPr>
                    </w:pPr>
                    <w:r w:rsidRPr="00112676">
                      <w:rPr>
                        <w:sz w:val="12"/>
                        <w:szCs w:val="12"/>
                      </w:rPr>
                      <w:fldChar w:fldCharType="begin"/>
                    </w:r>
                    <w:r w:rsidRPr="00112676">
                      <w:rPr>
                        <w:sz w:val="12"/>
                        <w:szCs w:val="12"/>
                      </w:rPr>
                      <w:instrText xml:space="preserve"> PAGE   \* MERGEFORMAT </w:instrText>
                    </w:r>
                    <w:r w:rsidRPr="00112676">
                      <w:rPr>
                        <w:sz w:val="12"/>
                        <w:szCs w:val="12"/>
                      </w:rPr>
                      <w:fldChar w:fldCharType="separate"/>
                    </w:r>
                    <w:r w:rsidR="004A62AD">
                      <w:rPr>
                        <w:noProof/>
                        <w:sz w:val="12"/>
                        <w:szCs w:val="12"/>
                      </w:rPr>
                      <w:t>13</w:t>
                    </w:r>
                    <w:r w:rsidRPr="00112676">
                      <w:rPr>
                        <w:noProof/>
                        <w:sz w:val="12"/>
                        <w:szCs w:val="12"/>
                      </w:rPr>
                      <w:fldChar w:fldCharType="end"/>
                    </w:r>
                    <w:r w:rsidRPr="00112676">
                      <w:rPr>
                        <w:noProof/>
                        <w:sz w:val="12"/>
                        <w:szCs w:val="12"/>
                      </w:rPr>
                      <w:t xml:space="preserve"> of </w:t>
                    </w:r>
                    <w:r w:rsidRPr="00112676">
                      <w:rPr>
                        <w:noProof/>
                        <w:sz w:val="12"/>
                        <w:szCs w:val="12"/>
                      </w:rPr>
                      <w:fldChar w:fldCharType="begin"/>
                    </w:r>
                    <w:r w:rsidRPr="00112676">
                      <w:rPr>
                        <w:noProof/>
                        <w:sz w:val="12"/>
                        <w:szCs w:val="12"/>
                      </w:rPr>
                      <w:instrText xml:space="preserve"> NUMPAGES   \* MERGEFORMAT </w:instrText>
                    </w:r>
                    <w:r w:rsidRPr="00112676">
                      <w:rPr>
                        <w:noProof/>
                        <w:sz w:val="12"/>
                        <w:szCs w:val="12"/>
                      </w:rPr>
                      <w:fldChar w:fldCharType="separate"/>
                    </w:r>
                    <w:r w:rsidR="004A62AD">
                      <w:rPr>
                        <w:noProof/>
                        <w:sz w:val="12"/>
                        <w:szCs w:val="12"/>
                      </w:rPr>
                      <w:t>15</w:t>
                    </w:r>
                    <w:r w:rsidRPr="00112676">
                      <w:rPr>
                        <w:noProof/>
                        <w:sz w:val="12"/>
                        <w:szCs w:val="12"/>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33FD" w14:textId="77777777" w:rsidR="00293241" w:rsidRDefault="0029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8DC3" w14:textId="77777777" w:rsidR="00E91428" w:rsidRPr="00E05050" w:rsidRDefault="00E91428" w:rsidP="00E05050">
      <w:pPr>
        <w:pStyle w:val="Heading2"/>
        <w:spacing w:before="0" w:after="0"/>
        <w:rPr>
          <w:rFonts w:ascii="Arial" w:eastAsiaTheme="minorHAnsi" w:hAnsi="Arial"/>
          <w:b/>
          <w:bCs w:val="0"/>
          <w:iCs w:val="0"/>
          <w:color w:val="auto"/>
          <w:sz w:val="20"/>
          <w:szCs w:val="20"/>
          <w:lang w:val="en-US"/>
        </w:rPr>
      </w:pPr>
      <w:r>
        <w:separator/>
      </w:r>
    </w:p>
  </w:footnote>
  <w:footnote w:type="continuationSeparator" w:id="0">
    <w:p w14:paraId="58221786" w14:textId="77777777" w:rsidR="00E91428" w:rsidRPr="00E05050" w:rsidRDefault="00E91428" w:rsidP="00E05050">
      <w:pPr>
        <w:pStyle w:val="Heading2"/>
        <w:spacing w:before="0" w:after="0"/>
        <w:rPr>
          <w:rFonts w:ascii="Arial" w:eastAsiaTheme="minorHAnsi" w:hAnsi="Arial"/>
          <w:b/>
          <w:bCs w:val="0"/>
          <w:iCs w:val="0"/>
          <w:color w:val="auto"/>
          <w:sz w:val="20"/>
          <w:szCs w:val="20"/>
          <w:lang w:val="en-US"/>
        </w:rPr>
      </w:pPr>
      <w:r>
        <w:continuationSeparator/>
      </w:r>
    </w:p>
  </w:footnote>
  <w:footnote w:type="continuationNotice" w:id="1">
    <w:p w14:paraId="60FC1B8C" w14:textId="77777777" w:rsidR="00E91428" w:rsidRDefault="00E91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0CDB" w14:textId="77777777" w:rsidR="00293241" w:rsidRDefault="00293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EB0C" w14:textId="099EA3CD" w:rsidR="00293241" w:rsidRDefault="00293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A095" w14:textId="77777777" w:rsidR="00293241" w:rsidRDefault="00293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DEB670"/>
    <w:lvl w:ilvl="0">
      <w:start w:val="1"/>
      <w:numFmt w:val="decimal"/>
      <w:pStyle w:val="ListNumber"/>
      <w:lvlText w:val="%1"/>
      <w:lvlJc w:val="left"/>
      <w:pPr>
        <w:tabs>
          <w:tab w:val="num" w:pos="360"/>
        </w:tabs>
        <w:ind w:left="360" w:hanging="360"/>
      </w:pPr>
      <w:rPr>
        <w:rFonts w:hint="default"/>
        <w:color w:val="009FE3" w:themeColor="background2"/>
      </w:rPr>
    </w:lvl>
  </w:abstractNum>
  <w:abstractNum w:abstractNumId="1" w15:restartNumberingAfterBreak="0">
    <w:nsid w:val="FFFFFF89"/>
    <w:multiLevelType w:val="singleLevel"/>
    <w:tmpl w:val="2492759C"/>
    <w:lvl w:ilvl="0">
      <w:start w:val="1"/>
      <w:numFmt w:val="bullet"/>
      <w:pStyle w:val="ListBullet"/>
      <w:lvlText w:val=""/>
      <w:lvlJc w:val="left"/>
      <w:pPr>
        <w:tabs>
          <w:tab w:val="num" w:pos="360"/>
        </w:tabs>
        <w:ind w:left="360" w:hanging="360"/>
      </w:pPr>
      <w:rPr>
        <w:rFonts w:ascii="Symbol" w:hAnsi="Symbol" w:hint="default"/>
        <w:color w:val="009FE3" w:themeColor="background2"/>
      </w:rPr>
    </w:lvl>
  </w:abstractNum>
  <w:abstractNum w:abstractNumId="2" w15:restartNumberingAfterBreak="0">
    <w:nsid w:val="00F14A77"/>
    <w:multiLevelType w:val="multilevel"/>
    <w:tmpl w:val="D1680F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17A52"/>
    <w:multiLevelType w:val="multilevel"/>
    <w:tmpl w:val="4992C3D2"/>
    <w:lvl w:ilvl="0">
      <w:start w:val="1"/>
      <w:numFmt w:val="none"/>
      <w:pStyle w:val="Heading1"/>
      <w:lvlText w:val="A1."/>
      <w:lvlJc w:val="left"/>
      <w:pPr>
        <w:ind w:left="360" w:hanging="360"/>
      </w:pPr>
      <w:rPr>
        <w:rFonts w:hint="default"/>
      </w:rPr>
    </w:lvl>
    <w:lvl w:ilvl="1">
      <w:start w:val="1"/>
      <w:numFmt w:val="decimal"/>
      <w:lvlText w:val="%1A1.%2."/>
      <w:lvlJc w:val="left"/>
      <w:pPr>
        <w:ind w:left="6812" w:hanging="432"/>
      </w:pPr>
      <w:rPr>
        <w:rFonts w:ascii="Segoe UI" w:hAnsi="Segoe UI" w:cs="Segoe UI" w:hint="default"/>
        <w:sz w:val="20"/>
      </w:rPr>
    </w:lvl>
    <w:lvl w:ilvl="2">
      <w:start w:val="1"/>
      <w:numFmt w:val="decimal"/>
      <w:lvlText w:val="A1.%2%1.%3."/>
      <w:lvlJc w:val="left"/>
      <w:pPr>
        <w:ind w:left="1781" w:hanging="504"/>
      </w:pPr>
      <w:rPr>
        <w:rFonts w:hint="default"/>
      </w:rPr>
    </w:lvl>
    <w:lvl w:ilvl="3">
      <w:start w:val="1"/>
      <w:numFmt w:val="decimal"/>
      <w:lvlText w:val="%1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E74F7D"/>
    <w:multiLevelType w:val="multilevel"/>
    <w:tmpl w:val="FBAECDEE"/>
    <w:name w:val="CustomListNum"/>
    <w:lvl w:ilvl="0">
      <w:start w:val="1"/>
      <w:numFmt w:val="decimal"/>
      <w:lvlText w:val="%1."/>
      <w:lvlJc w:val="left"/>
      <w:pPr>
        <w:tabs>
          <w:tab w:val="num" w:pos="3589"/>
        </w:tabs>
        <w:ind w:left="3589" w:hanging="709"/>
      </w:pPr>
      <w:rPr>
        <w:rFonts w:ascii="Arial" w:hAnsi="Arial" w:cs="Arial" w:hint="default"/>
        <w:b w:val="0"/>
      </w:rPr>
    </w:lvl>
    <w:lvl w:ilvl="1">
      <w:start w:val="1"/>
      <w:numFmt w:val="decimal"/>
      <w:lvlText w:val="%1.%2"/>
      <w:lvlJc w:val="left"/>
      <w:pPr>
        <w:tabs>
          <w:tab w:val="num" w:pos="9498"/>
        </w:tabs>
        <w:ind w:left="9498" w:hanging="709"/>
      </w:pPr>
      <w:rPr>
        <w:b w:val="0"/>
      </w:rPr>
    </w:lvl>
    <w:lvl w:ilvl="2">
      <w:start w:val="1"/>
      <w:numFmt w:val="lowerLetter"/>
      <w:lvlText w:val="(%3)"/>
      <w:lvlJc w:val="left"/>
      <w:pPr>
        <w:tabs>
          <w:tab w:val="num" w:pos="7371"/>
        </w:tabs>
        <w:ind w:left="7371" w:hanging="708"/>
      </w:pPr>
      <w:rPr>
        <w:rFonts w:ascii="Arial" w:hAnsi="Arial" w:cs="Arial" w:hint="default"/>
        <w:b w:val="0"/>
      </w:rPr>
    </w:lvl>
    <w:lvl w:ilvl="3">
      <w:start w:val="1"/>
      <w:numFmt w:val="lowerRoman"/>
      <w:lvlText w:val="(%4)"/>
      <w:lvlJc w:val="left"/>
      <w:pPr>
        <w:tabs>
          <w:tab w:val="num" w:pos="5006"/>
        </w:tabs>
        <w:ind w:left="5006" w:hanging="709"/>
      </w:pPr>
      <w:rPr>
        <w:rFonts w:ascii="Arial" w:hAnsi="Arial" w:cs="Arial" w:hint="default"/>
        <w:b w:val="0"/>
      </w:rPr>
    </w:lvl>
    <w:lvl w:ilvl="4">
      <w:start w:val="1"/>
      <w:numFmt w:val="decimal"/>
      <w:lvlText w:val="(%5)"/>
      <w:lvlJc w:val="left"/>
      <w:pPr>
        <w:tabs>
          <w:tab w:val="num" w:pos="5715"/>
        </w:tabs>
        <w:ind w:left="5715" w:hanging="709"/>
      </w:pPr>
      <w:rPr>
        <w:rFonts w:ascii="Arial" w:hAnsi="Arial" w:cs="Arial" w:hint="default"/>
        <w:b w:val="0"/>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 w15:restartNumberingAfterBreak="0">
    <w:nsid w:val="12143A8B"/>
    <w:multiLevelType w:val="hybridMultilevel"/>
    <w:tmpl w:val="61F68F04"/>
    <w:lvl w:ilvl="0" w:tplc="3CBEA38E">
      <w:start w:val="1"/>
      <w:numFmt w:val="bullet"/>
      <w:pStyle w:val="List"/>
      <w:lvlText w:val=""/>
      <w:lvlJc w:val="left"/>
      <w:pPr>
        <w:ind w:left="720" w:hanging="360"/>
      </w:pPr>
      <w:rPr>
        <w:rFonts w:ascii="Symbol" w:hAnsi="Symbol" w:hint="default"/>
        <w:color w:val="F687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0509"/>
    <w:multiLevelType w:val="hybridMultilevel"/>
    <w:tmpl w:val="510821EE"/>
    <w:lvl w:ilvl="0" w:tplc="669E459E">
      <w:start w:val="1"/>
      <w:numFmt w:val="decimal"/>
      <w:pStyle w:val="AppendixHeading"/>
      <w:lvlText w:val="Appendix %1"/>
      <w:lvlJc w:val="left"/>
      <w:pPr>
        <w:ind w:left="360" w:hanging="360"/>
      </w:pPr>
      <w:rPr>
        <w:rFonts w:ascii="Arial Bold" w:cs="Times New Roman" w:hint="cs"/>
        <w:b/>
        <w:bCs w:val="0"/>
        <w:i w:val="0"/>
        <w:iCs w:val="0"/>
        <w:caps w:val="0"/>
        <w:smallCaps w:val="0"/>
        <w:strike w:val="0"/>
        <w:dstrike w:val="0"/>
        <w:noProof w:val="0"/>
        <w:vanish w:val="0"/>
        <w:color w:val="009FE3" w:themeColor="background2"/>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7715D8E"/>
    <w:multiLevelType w:val="hybridMultilevel"/>
    <w:tmpl w:val="D9309EF2"/>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decimal"/>
      <w:pStyle w:val="SchSubtitle"/>
      <w:suff w:val="nothing"/>
      <w:lvlText w:val=""/>
      <w:lvlJc w:val="left"/>
      <w:pPr>
        <w:ind w:left="0" w:firstLine="0"/>
      </w:pPr>
      <w:rPr>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9" w15:restartNumberingAfterBreak="0">
    <w:nsid w:val="3EAA335E"/>
    <w:multiLevelType w:val="hybridMultilevel"/>
    <w:tmpl w:val="6AB898F6"/>
    <w:lvl w:ilvl="0" w:tplc="B51C8EB2">
      <w:start w:val="1"/>
      <w:numFmt w:val="decimal"/>
      <w:pStyle w:val="NumberedList"/>
      <w:lvlText w:val="%1."/>
      <w:lvlJc w:val="left"/>
      <w:pPr>
        <w:ind w:left="720" w:hanging="360"/>
      </w:pPr>
      <w:rPr>
        <w:rFonts w:ascii="Segoe UI" w:hAnsi="Segoe UI" w:hint="default"/>
        <w:b w:val="0"/>
        <w:i w:val="0"/>
        <w:color w:val="009FE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411CC"/>
    <w:multiLevelType w:val="multilevel"/>
    <w:tmpl w:val="4992C3D2"/>
    <w:lvl w:ilvl="0">
      <w:start w:val="1"/>
      <w:numFmt w:val="none"/>
      <w:lvlText w:val="A1."/>
      <w:lvlJc w:val="left"/>
      <w:pPr>
        <w:ind w:left="360" w:hanging="360"/>
      </w:pPr>
      <w:rPr>
        <w:rFonts w:hint="default"/>
      </w:rPr>
    </w:lvl>
    <w:lvl w:ilvl="1">
      <w:start w:val="1"/>
      <w:numFmt w:val="decimal"/>
      <w:lvlText w:val="%1A1.%2."/>
      <w:lvlJc w:val="left"/>
      <w:pPr>
        <w:ind w:left="6812" w:hanging="432"/>
      </w:pPr>
      <w:rPr>
        <w:rFonts w:ascii="Segoe UI" w:hAnsi="Segoe UI" w:cs="Segoe UI" w:hint="default"/>
        <w:sz w:val="20"/>
      </w:rPr>
    </w:lvl>
    <w:lvl w:ilvl="2">
      <w:start w:val="1"/>
      <w:numFmt w:val="decimal"/>
      <w:lvlText w:val="A1.%2%1.%3."/>
      <w:lvlJc w:val="left"/>
      <w:pPr>
        <w:ind w:left="1781" w:hanging="504"/>
      </w:pPr>
      <w:rPr>
        <w:rFonts w:hint="default"/>
      </w:rPr>
    </w:lvl>
    <w:lvl w:ilvl="3">
      <w:start w:val="1"/>
      <w:numFmt w:val="decimal"/>
      <w:lvlText w:val="%1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341C26"/>
    <w:multiLevelType w:val="multilevel"/>
    <w:tmpl w:val="2502006A"/>
    <w:lvl w:ilvl="0">
      <w:start w:val="6"/>
      <w:numFmt w:val="decimal"/>
      <w:lvlText w:val="%1"/>
      <w:lvlJc w:val="left"/>
      <w:pPr>
        <w:ind w:left="528" w:hanging="528"/>
      </w:pPr>
      <w:rPr>
        <w:rFonts w:hint="default"/>
        <w:color w:val="000000"/>
      </w:rPr>
    </w:lvl>
    <w:lvl w:ilvl="1">
      <w:start w:val="14"/>
      <w:numFmt w:val="decimal"/>
      <w:lvlText w:val="%1.%2"/>
      <w:lvlJc w:val="left"/>
      <w:pPr>
        <w:ind w:left="528" w:hanging="52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68000A45"/>
    <w:multiLevelType w:val="multilevel"/>
    <w:tmpl w:val="6AAE2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B345874"/>
    <w:multiLevelType w:val="multilevel"/>
    <w:tmpl w:val="26A041CE"/>
    <w:lvl w:ilvl="0">
      <w:start w:val="6"/>
      <w:numFmt w:val="decimal"/>
      <w:lvlText w:val="%1"/>
      <w:lvlJc w:val="left"/>
      <w:pPr>
        <w:ind w:left="684" w:hanging="684"/>
      </w:pPr>
      <w:rPr>
        <w:rFonts w:hint="default"/>
      </w:rPr>
    </w:lvl>
    <w:lvl w:ilvl="1">
      <w:start w:val="12"/>
      <w:numFmt w:val="decimal"/>
      <w:lvlText w:val="%1.%2"/>
      <w:lvlJc w:val="left"/>
      <w:pPr>
        <w:ind w:left="684" w:hanging="68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DD6AE2"/>
    <w:multiLevelType w:val="multilevel"/>
    <w:tmpl w:val="9742607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D353826"/>
    <w:multiLevelType w:val="multilevel"/>
    <w:tmpl w:val="0A9E979C"/>
    <w:lvl w:ilvl="0">
      <w:start w:val="1"/>
      <w:numFmt w:val="decimal"/>
      <w:lvlText w:val="%1."/>
      <w:lvlJc w:val="left"/>
      <w:pPr>
        <w:ind w:left="360" w:hanging="360"/>
      </w:pPr>
      <w:rPr>
        <w:rFonts w:hint="default"/>
      </w:rPr>
    </w:lvl>
    <w:lvl w:ilvl="1">
      <w:start w:val="1"/>
      <w:numFmt w:val="decimal"/>
      <w:lvlText w:val="%1.%2."/>
      <w:lvlJc w:val="left"/>
      <w:pPr>
        <w:ind w:left="6812" w:hanging="432"/>
      </w:pPr>
      <w:rPr>
        <w:rFonts w:ascii="Segoe UI" w:hAnsi="Segoe UI" w:cs="Segoe UI" w:hint="default"/>
        <w:sz w:val="20"/>
      </w:rPr>
    </w:lvl>
    <w:lvl w:ilvl="2">
      <w:start w:val="1"/>
      <w:numFmt w:val="decimal"/>
      <w:lvlText w:val="%1.%2.%3."/>
      <w:lvlJc w:val="left"/>
      <w:pPr>
        <w:ind w:left="1304" w:hanging="794"/>
      </w:pPr>
      <w:rPr>
        <w:rFonts w:asciiTheme="majorHAnsi" w:hAnsiTheme="majorHAnsi" w:cstheme="majorHAnsi"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69507847">
    <w:abstractNumId w:val="1"/>
  </w:num>
  <w:num w:numId="2" w16cid:durableId="468328659">
    <w:abstractNumId w:val="0"/>
  </w:num>
  <w:num w:numId="3" w16cid:durableId="507452740">
    <w:abstractNumId w:val="6"/>
  </w:num>
  <w:num w:numId="4" w16cid:durableId="477459268">
    <w:abstractNumId w:val="5"/>
  </w:num>
  <w:num w:numId="5" w16cid:durableId="241913977">
    <w:abstractNumId w:val="15"/>
  </w:num>
  <w:num w:numId="6" w16cid:durableId="926424687">
    <w:abstractNumId w:val="8"/>
  </w:num>
  <w:num w:numId="7" w16cid:durableId="1866361113">
    <w:abstractNumId w:val="9"/>
  </w:num>
  <w:num w:numId="8" w16cid:durableId="1829980940">
    <w:abstractNumId w:val="3"/>
  </w:num>
  <w:num w:numId="9" w16cid:durableId="1068377498">
    <w:abstractNumId w:val="10"/>
  </w:num>
  <w:num w:numId="10" w16cid:durableId="1510557582">
    <w:abstractNumId w:val="14"/>
  </w:num>
  <w:num w:numId="11" w16cid:durableId="1777554706">
    <w:abstractNumId w:val="13"/>
  </w:num>
  <w:num w:numId="12" w16cid:durableId="814219461">
    <w:abstractNumId w:val="11"/>
  </w:num>
  <w:num w:numId="13" w16cid:durableId="833692177">
    <w:abstractNumId w:val="12"/>
  </w:num>
  <w:num w:numId="14" w16cid:durableId="501899732">
    <w:abstractNumId w:val="2"/>
  </w:num>
  <w:num w:numId="15" w16cid:durableId="1148522103">
    <w:abstractNumId w:val="7"/>
  </w:num>
  <w:num w:numId="16" w16cid:durableId="23601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63"/>
    <w:rsid w:val="00000266"/>
    <w:rsid w:val="000046BF"/>
    <w:rsid w:val="000058DE"/>
    <w:rsid w:val="0000712D"/>
    <w:rsid w:val="00007ECC"/>
    <w:rsid w:val="00017340"/>
    <w:rsid w:val="00023C34"/>
    <w:rsid w:val="00025E69"/>
    <w:rsid w:val="00034B77"/>
    <w:rsid w:val="000372B2"/>
    <w:rsid w:val="0004447F"/>
    <w:rsid w:val="0004484F"/>
    <w:rsid w:val="00046027"/>
    <w:rsid w:val="000604F1"/>
    <w:rsid w:val="00060D55"/>
    <w:rsid w:val="00061130"/>
    <w:rsid w:val="00063C32"/>
    <w:rsid w:val="00064333"/>
    <w:rsid w:val="0006610A"/>
    <w:rsid w:val="000661AC"/>
    <w:rsid w:val="00066CC6"/>
    <w:rsid w:val="00070929"/>
    <w:rsid w:val="00075228"/>
    <w:rsid w:val="000779F5"/>
    <w:rsid w:val="000816A1"/>
    <w:rsid w:val="000845D4"/>
    <w:rsid w:val="0008543B"/>
    <w:rsid w:val="000908DA"/>
    <w:rsid w:val="000941DF"/>
    <w:rsid w:val="000A0BCE"/>
    <w:rsid w:val="000A1549"/>
    <w:rsid w:val="000A74AC"/>
    <w:rsid w:val="000B0EB0"/>
    <w:rsid w:val="000B3A8E"/>
    <w:rsid w:val="000C1E84"/>
    <w:rsid w:val="000C6B01"/>
    <w:rsid w:val="000D2A6D"/>
    <w:rsid w:val="000D3224"/>
    <w:rsid w:val="000D3B93"/>
    <w:rsid w:val="000E1774"/>
    <w:rsid w:val="000E3125"/>
    <w:rsid w:val="000E3FDA"/>
    <w:rsid w:val="000E5BD4"/>
    <w:rsid w:val="000E6975"/>
    <w:rsid w:val="000E6C67"/>
    <w:rsid w:val="000F1E9D"/>
    <w:rsid w:val="000F4851"/>
    <w:rsid w:val="000F6837"/>
    <w:rsid w:val="000F73D2"/>
    <w:rsid w:val="000F7BA2"/>
    <w:rsid w:val="0010401A"/>
    <w:rsid w:val="001075A5"/>
    <w:rsid w:val="0011133A"/>
    <w:rsid w:val="00111DF7"/>
    <w:rsid w:val="0011308C"/>
    <w:rsid w:val="00113490"/>
    <w:rsid w:val="00113687"/>
    <w:rsid w:val="00113BC9"/>
    <w:rsid w:val="00113D44"/>
    <w:rsid w:val="00120266"/>
    <w:rsid w:val="00120C77"/>
    <w:rsid w:val="0012105B"/>
    <w:rsid w:val="001210D4"/>
    <w:rsid w:val="00122608"/>
    <w:rsid w:val="00133878"/>
    <w:rsid w:val="0013548A"/>
    <w:rsid w:val="001365C4"/>
    <w:rsid w:val="001406E4"/>
    <w:rsid w:val="00142844"/>
    <w:rsid w:val="00142C5E"/>
    <w:rsid w:val="00145260"/>
    <w:rsid w:val="001456C5"/>
    <w:rsid w:val="00156104"/>
    <w:rsid w:val="001625C9"/>
    <w:rsid w:val="00166434"/>
    <w:rsid w:val="00171CBA"/>
    <w:rsid w:val="00173923"/>
    <w:rsid w:val="00175E46"/>
    <w:rsid w:val="0018505E"/>
    <w:rsid w:val="0019265D"/>
    <w:rsid w:val="00193D94"/>
    <w:rsid w:val="00194F74"/>
    <w:rsid w:val="001A5706"/>
    <w:rsid w:val="001A61B8"/>
    <w:rsid w:val="001A6847"/>
    <w:rsid w:val="001B2C4A"/>
    <w:rsid w:val="001B5A80"/>
    <w:rsid w:val="001C1BD4"/>
    <w:rsid w:val="001D0297"/>
    <w:rsid w:val="001D36DF"/>
    <w:rsid w:val="001D397C"/>
    <w:rsid w:val="001D75F8"/>
    <w:rsid w:val="001E1914"/>
    <w:rsid w:val="001E33F1"/>
    <w:rsid w:val="001E7145"/>
    <w:rsid w:val="001E76AB"/>
    <w:rsid w:val="001E7851"/>
    <w:rsid w:val="001F41AC"/>
    <w:rsid w:val="001F4851"/>
    <w:rsid w:val="00200459"/>
    <w:rsid w:val="00201189"/>
    <w:rsid w:val="00204B76"/>
    <w:rsid w:val="00210C3A"/>
    <w:rsid w:val="0021451E"/>
    <w:rsid w:val="00214C50"/>
    <w:rsid w:val="00215FBF"/>
    <w:rsid w:val="00222128"/>
    <w:rsid w:val="00222244"/>
    <w:rsid w:val="002238C6"/>
    <w:rsid w:val="0022402C"/>
    <w:rsid w:val="002347BA"/>
    <w:rsid w:val="00234832"/>
    <w:rsid w:val="00235398"/>
    <w:rsid w:val="002359A7"/>
    <w:rsid w:val="00236FA7"/>
    <w:rsid w:val="0024302F"/>
    <w:rsid w:val="00243411"/>
    <w:rsid w:val="00246D9A"/>
    <w:rsid w:val="002470A9"/>
    <w:rsid w:val="00250CDE"/>
    <w:rsid w:val="0025323E"/>
    <w:rsid w:val="0025362A"/>
    <w:rsid w:val="002537E4"/>
    <w:rsid w:val="00256477"/>
    <w:rsid w:val="002578D3"/>
    <w:rsid w:val="00262956"/>
    <w:rsid w:val="002639BB"/>
    <w:rsid w:val="00265838"/>
    <w:rsid w:val="00270B20"/>
    <w:rsid w:val="00270E13"/>
    <w:rsid w:val="00273530"/>
    <w:rsid w:val="0027561D"/>
    <w:rsid w:val="00280ACF"/>
    <w:rsid w:val="00280D1A"/>
    <w:rsid w:val="00293241"/>
    <w:rsid w:val="002948BD"/>
    <w:rsid w:val="002954B3"/>
    <w:rsid w:val="002A14CB"/>
    <w:rsid w:val="002A48A1"/>
    <w:rsid w:val="002A6C5B"/>
    <w:rsid w:val="002B0542"/>
    <w:rsid w:val="002B0911"/>
    <w:rsid w:val="002B1C1E"/>
    <w:rsid w:val="002B7E60"/>
    <w:rsid w:val="002C05C5"/>
    <w:rsid w:val="002C2B9A"/>
    <w:rsid w:val="002C3D89"/>
    <w:rsid w:val="002C4DD3"/>
    <w:rsid w:val="002C7D35"/>
    <w:rsid w:val="002D3E2A"/>
    <w:rsid w:val="002E057D"/>
    <w:rsid w:val="002E5D70"/>
    <w:rsid w:val="002E5F5D"/>
    <w:rsid w:val="002F174A"/>
    <w:rsid w:val="002F3EBF"/>
    <w:rsid w:val="002F554B"/>
    <w:rsid w:val="00300086"/>
    <w:rsid w:val="00301C01"/>
    <w:rsid w:val="00303F25"/>
    <w:rsid w:val="00304E48"/>
    <w:rsid w:val="00306A33"/>
    <w:rsid w:val="00310108"/>
    <w:rsid w:val="00310232"/>
    <w:rsid w:val="00310AA9"/>
    <w:rsid w:val="00311028"/>
    <w:rsid w:val="00311BF6"/>
    <w:rsid w:val="003148C5"/>
    <w:rsid w:val="00321EDD"/>
    <w:rsid w:val="003250FF"/>
    <w:rsid w:val="003251B6"/>
    <w:rsid w:val="0033278E"/>
    <w:rsid w:val="0033737B"/>
    <w:rsid w:val="00344273"/>
    <w:rsid w:val="00344B34"/>
    <w:rsid w:val="00345D17"/>
    <w:rsid w:val="0035005E"/>
    <w:rsid w:val="003505F3"/>
    <w:rsid w:val="00352084"/>
    <w:rsid w:val="003555CC"/>
    <w:rsid w:val="00363EE1"/>
    <w:rsid w:val="00364982"/>
    <w:rsid w:val="0037094F"/>
    <w:rsid w:val="00382B73"/>
    <w:rsid w:val="003835C9"/>
    <w:rsid w:val="00385C5B"/>
    <w:rsid w:val="0039240E"/>
    <w:rsid w:val="00392430"/>
    <w:rsid w:val="00392F16"/>
    <w:rsid w:val="00397DEB"/>
    <w:rsid w:val="003A475B"/>
    <w:rsid w:val="003A5256"/>
    <w:rsid w:val="003B1746"/>
    <w:rsid w:val="003B2394"/>
    <w:rsid w:val="003B23D3"/>
    <w:rsid w:val="003B35F9"/>
    <w:rsid w:val="003B41F0"/>
    <w:rsid w:val="003B5529"/>
    <w:rsid w:val="003C048C"/>
    <w:rsid w:val="003C0F1D"/>
    <w:rsid w:val="003C385A"/>
    <w:rsid w:val="003C4F58"/>
    <w:rsid w:val="003C7E03"/>
    <w:rsid w:val="003D7152"/>
    <w:rsid w:val="003E06EC"/>
    <w:rsid w:val="003E0A5D"/>
    <w:rsid w:val="003E0D88"/>
    <w:rsid w:val="003E3679"/>
    <w:rsid w:val="003E3E2A"/>
    <w:rsid w:val="003E5D77"/>
    <w:rsid w:val="003E64A7"/>
    <w:rsid w:val="003E7F89"/>
    <w:rsid w:val="003F22D2"/>
    <w:rsid w:val="003F42DD"/>
    <w:rsid w:val="00400E2B"/>
    <w:rsid w:val="00401375"/>
    <w:rsid w:val="004013D9"/>
    <w:rsid w:val="00401752"/>
    <w:rsid w:val="004029B9"/>
    <w:rsid w:val="00403C82"/>
    <w:rsid w:val="00406548"/>
    <w:rsid w:val="00406E0B"/>
    <w:rsid w:val="00407589"/>
    <w:rsid w:val="004117AE"/>
    <w:rsid w:val="00413B46"/>
    <w:rsid w:val="00414882"/>
    <w:rsid w:val="00415017"/>
    <w:rsid w:val="00416474"/>
    <w:rsid w:val="00417D03"/>
    <w:rsid w:val="00421576"/>
    <w:rsid w:val="0042250E"/>
    <w:rsid w:val="00424DE3"/>
    <w:rsid w:val="0042717A"/>
    <w:rsid w:val="00430C85"/>
    <w:rsid w:val="00436C7E"/>
    <w:rsid w:val="004371FB"/>
    <w:rsid w:val="004419F7"/>
    <w:rsid w:val="00443015"/>
    <w:rsid w:val="00443198"/>
    <w:rsid w:val="004447F3"/>
    <w:rsid w:val="00444AEB"/>
    <w:rsid w:val="00444EDF"/>
    <w:rsid w:val="00445465"/>
    <w:rsid w:val="00445608"/>
    <w:rsid w:val="00445C79"/>
    <w:rsid w:val="00447141"/>
    <w:rsid w:val="00447B07"/>
    <w:rsid w:val="00447F0F"/>
    <w:rsid w:val="00461B76"/>
    <w:rsid w:val="004810C0"/>
    <w:rsid w:val="004822DD"/>
    <w:rsid w:val="00483926"/>
    <w:rsid w:val="00487017"/>
    <w:rsid w:val="00487C60"/>
    <w:rsid w:val="0049359E"/>
    <w:rsid w:val="00496D95"/>
    <w:rsid w:val="00497929"/>
    <w:rsid w:val="004A3A3E"/>
    <w:rsid w:val="004A62AD"/>
    <w:rsid w:val="004A74B6"/>
    <w:rsid w:val="004A7CA3"/>
    <w:rsid w:val="004B3F00"/>
    <w:rsid w:val="004B4553"/>
    <w:rsid w:val="004B47CB"/>
    <w:rsid w:val="004B50A8"/>
    <w:rsid w:val="004C2B1F"/>
    <w:rsid w:val="004C4C49"/>
    <w:rsid w:val="004C5F15"/>
    <w:rsid w:val="004D2684"/>
    <w:rsid w:val="004D2925"/>
    <w:rsid w:val="004D40B0"/>
    <w:rsid w:val="004D6B0C"/>
    <w:rsid w:val="004E2F47"/>
    <w:rsid w:val="004E4C77"/>
    <w:rsid w:val="004E5B15"/>
    <w:rsid w:val="004E6990"/>
    <w:rsid w:val="004F0C81"/>
    <w:rsid w:val="004F138D"/>
    <w:rsid w:val="004F1FF7"/>
    <w:rsid w:val="004F6D3B"/>
    <w:rsid w:val="004F72F9"/>
    <w:rsid w:val="0050361C"/>
    <w:rsid w:val="00504AC5"/>
    <w:rsid w:val="0050589F"/>
    <w:rsid w:val="0050676C"/>
    <w:rsid w:val="00510977"/>
    <w:rsid w:val="00512CEF"/>
    <w:rsid w:val="005157C9"/>
    <w:rsid w:val="00516A27"/>
    <w:rsid w:val="00517982"/>
    <w:rsid w:val="00522974"/>
    <w:rsid w:val="00523601"/>
    <w:rsid w:val="00523A19"/>
    <w:rsid w:val="00526189"/>
    <w:rsid w:val="00533B4D"/>
    <w:rsid w:val="005358D6"/>
    <w:rsid w:val="00535ACD"/>
    <w:rsid w:val="005369D5"/>
    <w:rsid w:val="00537DA1"/>
    <w:rsid w:val="00540E4C"/>
    <w:rsid w:val="00541CF0"/>
    <w:rsid w:val="0054332E"/>
    <w:rsid w:val="005434DD"/>
    <w:rsid w:val="005439A3"/>
    <w:rsid w:val="00545A4D"/>
    <w:rsid w:val="00546DE8"/>
    <w:rsid w:val="00547F8A"/>
    <w:rsid w:val="0055045C"/>
    <w:rsid w:val="005518C7"/>
    <w:rsid w:val="00551938"/>
    <w:rsid w:val="00553F02"/>
    <w:rsid w:val="00555040"/>
    <w:rsid w:val="00560510"/>
    <w:rsid w:val="00561F25"/>
    <w:rsid w:val="00563F93"/>
    <w:rsid w:val="0056454B"/>
    <w:rsid w:val="005675AC"/>
    <w:rsid w:val="00572FBF"/>
    <w:rsid w:val="005756C7"/>
    <w:rsid w:val="00577F25"/>
    <w:rsid w:val="00583588"/>
    <w:rsid w:val="005852C9"/>
    <w:rsid w:val="00585988"/>
    <w:rsid w:val="00585BA6"/>
    <w:rsid w:val="005871F2"/>
    <w:rsid w:val="00590FFE"/>
    <w:rsid w:val="00591508"/>
    <w:rsid w:val="00594E21"/>
    <w:rsid w:val="00595246"/>
    <w:rsid w:val="005A167C"/>
    <w:rsid w:val="005A5F73"/>
    <w:rsid w:val="005A6BC2"/>
    <w:rsid w:val="005B2B24"/>
    <w:rsid w:val="005B2B68"/>
    <w:rsid w:val="005B2BED"/>
    <w:rsid w:val="005B43BE"/>
    <w:rsid w:val="005B4968"/>
    <w:rsid w:val="005B4BEE"/>
    <w:rsid w:val="005B555D"/>
    <w:rsid w:val="005C01A0"/>
    <w:rsid w:val="005C2022"/>
    <w:rsid w:val="005C3876"/>
    <w:rsid w:val="005D00DB"/>
    <w:rsid w:val="005D1391"/>
    <w:rsid w:val="005D1556"/>
    <w:rsid w:val="005D3425"/>
    <w:rsid w:val="005D46F7"/>
    <w:rsid w:val="005D6357"/>
    <w:rsid w:val="005D6C36"/>
    <w:rsid w:val="005E00D8"/>
    <w:rsid w:val="005E1541"/>
    <w:rsid w:val="005E183B"/>
    <w:rsid w:val="005E1F60"/>
    <w:rsid w:val="005E47AA"/>
    <w:rsid w:val="005E5AFA"/>
    <w:rsid w:val="005F72B4"/>
    <w:rsid w:val="00601485"/>
    <w:rsid w:val="006039F0"/>
    <w:rsid w:val="00604616"/>
    <w:rsid w:val="00605ED9"/>
    <w:rsid w:val="00606E56"/>
    <w:rsid w:val="00607C77"/>
    <w:rsid w:val="0061023A"/>
    <w:rsid w:val="00610435"/>
    <w:rsid w:val="00610671"/>
    <w:rsid w:val="006118A4"/>
    <w:rsid w:val="006201CB"/>
    <w:rsid w:val="00620FA1"/>
    <w:rsid w:val="0062684D"/>
    <w:rsid w:val="00630F79"/>
    <w:rsid w:val="006320AE"/>
    <w:rsid w:val="00632B5C"/>
    <w:rsid w:val="006411EB"/>
    <w:rsid w:val="006427C1"/>
    <w:rsid w:val="00644A27"/>
    <w:rsid w:val="0065131B"/>
    <w:rsid w:val="00652A9B"/>
    <w:rsid w:val="00654B2C"/>
    <w:rsid w:val="00655282"/>
    <w:rsid w:val="00655D76"/>
    <w:rsid w:val="0066207E"/>
    <w:rsid w:val="00667015"/>
    <w:rsid w:val="0066791E"/>
    <w:rsid w:val="00667DC1"/>
    <w:rsid w:val="00670019"/>
    <w:rsid w:val="0067247F"/>
    <w:rsid w:val="0067646D"/>
    <w:rsid w:val="00682FC2"/>
    <w:rsid w:val="00683AF1"/>
    <w:rsid w:val="00684459"/>
    <w:rsid w:val="00686709"/>
    <w:rsid w:val="006914A7"/>
    <w:rsid w:val="006957EE"/>
    <w:rsid w:val="006964CC"/>
    <w:rsid w:val="00696A26"/>
    <w:rsid w:val="0069729A"/>
    <w:rsid w:val="006977BC"/>
    <w:rsid w:val="006A3183"/>
    <w:rsid w:val="006A3A66"/>
    <w:rsid w:val="006A43E1"/>
    <w:rsid w:val="006A4472"/>
    <w:rsid w:val="006A7D0A"/>
    <w:rsid w:val="006B0D6F"/>
    <w:rsid w:val="006B0F4B"/>
    <w:rsid w:val="006B4574"/>
    <w:rsid w:val="006B6C0A"/>
    <w:rsid w:val="006C0625"/>
    <w:rsid w:val="006C1496"/>
    <w:rsid w:val="006C26E0"/>
    <w:rsid w:val="006C4284"/>
    <w:rsid w:val="006D5A33"/>
    <w:rsid w:val="006D61E3"/>
    <w:rsid w:val="006E1DB5"/>
    <w:rsid w:val="006E3763"/>
    <w:rsid w:val="006E39D2"/>
    <w:rsid w:val="006E5847"/>
    <w:rsid w:val="006E7F2D"/>
    <w:rsid w:val="006F072E"/>
    <w:rsid w:val="006F38B8"/>
    <w:rsid w:val="006F471A"/>
    <w:rsid w:val="007009B2"/>
    <w:rsid w:val="0070213B"/>
    <w:rsid w:val="00703D55"/>
    <w:rsid w:val="00705D65"/>
    <w:rsid w:val="0070639D"/>
    <w:rsid w:val="00707371"/>
    <w:rsid w:val="00707CFF"/>
    <w:rsid w:val="00710FCA"/>
    <w:rsid w:val="00712111"/>
    <w:rsid w:val="007150D1"/>
    <w:rsid w:val="00717094"/>
    <w:rsid w:val="007223DA"/>
    <w:rsid w:val="00722F7C"/>
    <w:rsid w:val="00723B2C"/>
    <w:rsid w:val="00724C15"/>
    <w:rsid w:val="00724F1E"/>
    <w:rsid w:val="007278FB"/>
    <w:rsid w:val="007319EF"/>
    <w:rsid w:val="0073398E"/>
    <w:rsid w:val="00735566"/>
    <w:rsid w:val="0073596D"/>
    <w:rsid w:val="00735FA8"/>
    <w:rsid w:val="00736736"/>
    <w:rsid w:val="007431D0"/>
    <w:rsid w:val="007436A4"/>
    <w:rsid w:val="00744FC1"/>
    <w:rsid w:val="00746C42"/>
    <w:rsid w:val="00754DDB"/>
    <w:rsid w:val="00757B5A"/>
    <w:rsid w:val="00757F46"/>
    <w:rsid w:val="007602B6"/>
    <w:rsid w:val="0076679D"/>
    <w:rsid w:val="00767B19"/>
    <w:rsid w:val="00771004"/>
    <w:rsid w:val="007717E7"/>
    <w:rsid w:val="00772110"/>
    <w:rsid w:val="00772296"/>
    <w:rsid w:val="0077455C"/>
    <w:rsid w:val="007754AC"/>
    <w:rsid w:val="00775544"/>
    <w:rsid w:val="00777824"/>
    <w:rsid w:val="00785810"/>
    <w:rsid w:val="007900C2"/>
    <w:rsid w:val="0079015B"/>
    <w:rsid w:val="00791924"/>
    <w:rsid w:val="00791B4A"/>
    <w:rsid w:val="00792EA3"/>
    <w:rsid w:val="007944FD"/>
    <w:rsid w:val="007A125A"/>
    <w:rsid w:val="007A1321"/>
    <w:rsid w:val="007A1C9E"/>
    <w:rsid w:val="007A31F7"/>
    <w:rsid w:val="007A320D"/>
    <w:rsid w:val="007A720F"/>
    <w:rsid w:val="007B09EC"/>
    <w:rsid w:val="007B2BBB"/>
    <w:rsid w:val="007B3DCC"/>
    <w:rsid w:val="007B415B"/>
    <w:rsid w:val="007B4759"/>
    <w:rsid w:val="007B5917"/>
    <w:rsid w:val="007B6008"/>
    <w:rsid w:val="007B613D"/>
    <w:rsid w:val="007B6830"/>
    <w:rsid w:val="007B6A23"/>
    <w:rsid w:val="007C060C"/>
    <w:rsid w:val="007C3051"/>
    <w:rsid w:val="007C51CD"/>
    <w:rsid w:val="007C5840"/>
    <w:rsid w:val="007C6DC5"/>
    <w:rsid w:val="007C6FB7"/>
    <w:rsid w:val="007C7D3C"/>
    <w:rsid w:val="007D4681"/>
    <w:rsid w:val="007D58A1"/>
    <w:rsid w:val="007D6506"/>
    <w:rsid w:val="007D78A8"/>
    <w:rsid w:val="007D7A7D"/>
    <w:rsid w:val="007E10A5"/>
    <w:rsid w:val="007E1904"/>
    <w:rsid w:val="007E1AB7"/>
    <w:rsid w:val="007E23A6"/>
    <w:rsid w:val="007E4457"/>
    <w:rsid w:val="007E5577"/>
    <w:rsid w:val="007E6577"/>
    <w:rsid w:val="007F08B8"/>
    <w:rsid w:val="007F1934"/>
    <w:rsid w:val="007F1C93"/>
    <w:rsid w:val="007F3AA0"/>
    <w:rsid w:val="007F3AB5"/>
    <w:rsid w:val="007F42AD"/>
    <w:rsid w:val="007F52DC"/>
    <w:rsid w:val="007F655D"/>
    <w:rsid w:val="00805492"/>
    <w:rsid w:val="00812D09"/>
    <w:rsid w:val="00812FE8"/>
    <w:rsid w:val="00817DBA"/>
    <w:rsid w:val="0082069D"/>
    <w:rsid w:val="00821C0B"/>
    <w:rsid w:val="00822CFF"/>
    <w:rsid w:val="00822F8A"/>
    <w:rsid w:val="00826EC8"/>
    <w:rsid w:val="008276B4"/>
    <w:rsid w:val="00827856"/>
    <w:rsid w:val="008329BD"/>
    <w:rsid w:val="00836185"/>
    <w:rsid w:val="008375B7"/>
    <w:rsid w:val="00843892"/>
    <w:rsid w:val="00843CD0"/>
    <w:rsid w:val="00847A5D"/>
    <w:rsid w:val="008515DA"/>
    <w:rsid w:val="00853ECA"/>
    <w:rsid w:val="008550BD"/>
    <w:rsid w:val="008571BE"/>
    <w:rsid w:val="008603B2"/>
    <w:rsid w:val="00860E0A"/>
    <w:rsid w:val="008629F3"/>
    <w:rsid w:val="00862FF6"/>
    <w:rsid w:val="0086315A"/>
    <w:rsid w:val="008638EA"/>
    <w:rsid w:val="00870DFA"/>
    <w:rsid w:val="008713A9"/>
    <w:rsid w:val="00871E3B"/>
    <w:rsid w:val="0087231D"/>
    <w:rsid w:val="00872C59"/>
    <w:rsid w:val="0087451F"/>
    <w:rsid w:val="00875283"/>
    <w:rsid w:val="0087703E"/>
    <w:rsid w:val="008772C8"/>
    <w:rsid w:val="00877A93"/>
    <w:rsid w:val="00885D94"/>
    <w:rsid w:val="00891667"/>
    <w:rsid w:val="00891D2C"/>
    <w:rsid w:val="0089220B"/>
    <w:rsid w:val="00893CBA"/>
    <w:rsid w:val="0089776B"/>
    <w:rsid w:val="008A0C9C"/>
    <w:rsid w:val="008A34B8"/>
    <w:rsid w:val="008A5C12"/>
    <w:rsid w:val="008A61BC"/>
    <w:rsid w:val="008A6433"/>
    <w:rsid w:val="008A7E10"/>
    <w:rsid w:val="008B29F0"/>
    <w:rsid w:val="008B508D"/>
    <w:rsid w:val="008B53A5"/>
    <w:rsid w:val="008B549E"/>
    <w:rsid w:val="008B789F"/>
    <w:rsid w:val="008C120D"/>
    <w:rsid w:val="008C283C"/>
    <w:rsid w:val="008C37C7"/>
    <w:rsid w:val="008D1CB3"/>
    <w:rsid w:val="008D2506"/>
    <w:rsid w:val="008D3E50"/>
    <w:rsid w:val="008E200D"/>
    <w:rsid w:val="008E2BCD"/>
    <w:rsid w:val="008E390A"/>
    <w:rsid w:val="008E5054"/>
    <w:rsid w:val="008E547A"/>
    <w:rsid w:val="008E5C3A"/>
    <w:rsid w:val="008E6231"/>
    <w:rsid w:val="008E685C"/>
    <w:rsid w:val="008E74F0"/>
    <w:rsid w:val="008F2791"/>
    <w:rsid w:val="00900C14"/>
    <w:rsid w:val="00901EA3"/>
    <w:rsid w:val="00906F8A"/>
    <w:rsid w:val="00910265"/>
    <w:rsid w:val="00910696"/>
    <w:rsid w:val="0091323C"/>
    <w:rsid w:val="009134D4"/>
    <w:rsid w:val="0094034D"/>
    <w:rsid w:val="00942627"/>
    <w:rsid w:val="0094517A"/>
    <w:rsid w:val="0094655D"/>
    <w:rsid w:val="009507A9"/>
    <w:rsid w:val="00951022"/>
    <w:rsid w:val="009526BD"/>
    <w:rsid w:val="00952A7E"/>
    <w:rsid w:val="009532C3"/>
    <w:rsid w:val="009539AC"/>
    <w:rsid w:val="009543B6"/>
    <w:rsid w:val="009544BC"/>
    <w:rsid w:val="00954F88"/>
    <w:rsid w:val="00957BC7"/>
    <w:rsid w:val="00960AF1"/>
    <w:rsid w:val="00964306"/>
    <w:rsid w:val="00967FC4"/>
    <w:rsid w:val="00970C44"/>
    <w:rsid w:val="0097160E"/>
    <w:rsid w:val="009805D5"/>
    <w:rsid w:val="00980BFB"/>
    <w:rsid w:val="00983A7A"/>
    <w:rsid w:val="0098404A"/>
    <w:rsid w:val="009914F8"/>
    <w:rsid w:val="00992164"/>
    <w:rsid w:val="009972AF"/>
    <w:rsid w:val="009A004D"/>
    <w:rsid w:val="009A11A4"/>
    <w:rsid w:val="009A24EA"/>
    <w:rsid w:val="009A33B8"/>
    <w:rsid w:val="009A402A"/>
    <w:rsid w:val="009A533E"/>
    <w:rsid w:val="009A6714"/>
    <w:rsid w:val="009A7820"/>
    <w:rsid w:val="009B2217"/>
    <w:rsid w:val="009B24CB"/>
    <w:rsid w:val="009B2F1C"/>
    <w:rsid w:val="009C05EE"/>
    <w:rsid w:val="009C1D26"/>
    <w:rsid w:val="009C7A2A"/>
    <w:rsid w:val="009D67FC"/>
    <w:rsid w:val="009E09A4"/>
    <w:rsid w:val="009E6453"/>
    <w:rsid w:val="009E6A72"/>
    <w:rsid w:val="009F24A7"/>
    <w:rsid w:val="009F4117"/>
    <w:rsid w:val="009F5AB3"/>
    <w:rsid w:val="00A00581"/>
    <w:rsid w:val="00A02043"/>
    <w:rsid w:val="00A0284D"/>
    <w:rsid w:val="00A02E25"/>
    <w:rsid w:val="00A03BED"/>
    <w:rsid w:val="00A03DC7"/>
    <w:rsid w:val="00A0567E"/>
    <w:rsid w:val="00A144AB"/>
    <w:rsid w:val="00A1584B"/>
    <w:rsid w:val="00A159F3"/>
    <w:rsid w:val="00A15AEF"/>
    <w:rsid w:val="00A210C1"/>
    <w:rsid w:val="00A2190B"/>
    <w:rsid w:val="00A230A0"/>
    <w:rsid w:val="00A2392E"/>
    <w:rsid w:val="00A24674"/>
    <w:rsid w:val="00A24EE6"/>
    <w:rsid w:val="00A254E0"/>
    <w:rsid w:val="00A25C69"/>
    <w:rsid w:val="00A265DB"/>
    <w:rsid w:val="00A30341"/>
    <w:rsid w:val="00A343DE"/>
    <w:rsid w:val="00A34462"/>
    <w:rsid w:val="00A34512"/>
    <w:rsid w:val="00A369FC"/>
    <w:rsid w:val="00A40A52"/>
    <w:rsid w:val="00A43911"/>
    <w:rsid w:val="00A44BFF"/>
    <w:rsid w:val="00A52B38"/>
    <w:rsid w:val="00A54932"/>
    <w:rsid w:val="00A56CE0"/>
    <w:rsid w:val="00A61058"/>
    <w:rsid w:val="00A62F21"/>
    <w:rsid w:val="00A64305"/>
    <w:rsid w:val="00A6521E"/>
    <w:rsid w:val="00A669FA"/>
    <w:rsid w:val="00A72F4B"/>
    <w:rsid w:val="00A73626"/>
    <w:rsid w:val="00A75DDF"/>
    <w:rsid w:val="00A80361"/>
    <w:rsid w:val="00A820A8"/>
    <w:rsid w:val="00A8481E"/>
    <w:rsid w:val="00A84EFB"/>
    <w:rsid w:val="00A85365"/>
    <w:rsid w:val="00A8565F"/>
    <w:rsid w:val="00A872B9"/>
    <w:rsid w:val="00A90919"/>
    <w:rsid w:val="00A9293A"/>
    <w:rsid w:val="00A945B7"/>
    <w:rsid w:val="00A950D2"/>
    <w:rsid w:val="00A9744C"/>
    <w:rsid w:val="00A97979"/>
    <w:rsid w:val="00A97CDB"/>
    <w:rsid w:val="00AA442C"/>
    <w:rsid w:val="00AB1F7D"/>
    <w:rsid w:val="00AB20B9"/>
    <w:rsid w:val="00AB33F8"/>
    <w:rsid w:val="00AB3672"/>
    <w:rsid w:val="00AB5570"/>
    <w:rsid w:val="00AB5EC8"/>
    <w:rsid w:val="00AB6BBD"/>
    <w:rsid w:val="00AC0613"/>
    <w:rsid w:val="00AC1378"/>
    <w:rsid w:val="00AC2AD2"/>
    <w:rsid w:val="00AC2E42"/>
    <w:rsid w:val="00AC343D"/>
    <w:rsid w:val="00AC4223"/>
    <w:rsid w:val="00AC642D"/>
    <w:rsid w:val="00AC77C8"/>
    <w:rsid w:val="00AD0292"/>
    <w:rsid w:val="00AD0C79"/>
    <w:rsid w:val="00AD159C"/>
    <w:rsid w:val="00AD637D"/>
    <w:rsid w:val="00AD7E17"/>
    <w:rsid w:val="00AE09A9"/>
    <w:rsid w:val="00AE1AA5"/>
    <w:rsid w:val="00AE24E2"/>
    <w:rsid w:val="00AE3F82"/>
    <w:rsid w:val="00AF079D"/>
    <w:rsid w:val="00AF23D3"/>
    <w:rsid w:val="00AF5A05"/>
    <w:rsid w:val="00AF7271"/>
    <w:rsid w:val="00B0074E"/>
    <w:rsid w:val="00B03159"/>
    <w:rsid w:val="00B041EB"/>
    <w:rsid w:val="00B0671F"/>
    <w:rsid w:val="00B07C3A"/>
    <w:rsid w:val="00B1397A"/>
    <w:rsid w:val="00B15C87"/>
    <w:rsid w:val="00B205BD"/>
    <w:rsid w:val="00B2149C"/>
    <w:rsid w:val="00B217BE"/>
    <w:rsid w:val="00B217D5"/>
    <w:rsid w:val="00B23D75"/>
    <w:rsid w:val="00B2460A"/>
    <w:rsid w:val="00B2489A"/>
    <w:rsid w:val="00B275CC"/>
    <w:rsid w:val="00B31D32"/>
    <w:rsid w:val="00B335E4"/>
    <w:rsid w:val="00B336D2"/>
    <w:rsid w:val="00B37006"/>
    <w:rsid w:val="00B37858"/>
    <w:rsid w:val="00B416C0"/>
    <w:rsid w:val="00B43189"/>
    <w:rsid w:val="00B46904"/>
    <w:rsid w:val="00B5004C"/>
    <w:rsid w:val="00B55116"/>
    <w:rsid w:val="00B56417"/>
    <w:rsid w:val="00B649FA"/>
    <w:rsid w:val="00B64CA5"/>
    <w:rsid w:val="00B65381"/>
    <w:rsid w:val="00B72BC7"/>
    <w:rsid w:val="00B7765E"/>
    <w:rsid w:val="00B80628"/>
    <w:rsid w:val="00B840CE"/>
    <w:rsid w:val="00B855F2"/>
    <w:rsid w:val="00B876FE"/>
    <w:rsid w:val="00B87B33"/>
    <w:rsid w:val="00B94A91"/>
    <w:rsid w:val="00B96183"/>
    <w:rsid w:val="00BA0747"/>
    <w:rsid w:val="00BB620C"/>
    <w:rsid w:val="00BC11E0"/>
    <w:rsid w:val="00BC1EB4"/>
    <w:rsid w:val="00BC5293"/>
    <w:rsid w:val="00BD07A3"/>
    <w:rsid w:val="00BD26E9"/>
    <w:rsid w:val="00BD2F5B"/>
    <w:rsid w:val="00BD3052"/>
    <w:rsid w:val="00BD5DF5"/>
    <w:rsid w:val="00BD6EA5"/>
    <w:rsid w:val="00BE3609"/>
    <w:rsid w:val="00BE4CB9"/>
    <w:rsid w:val="00BE6A1A"/>
    <w:rsid w:val="00BF04FF"/>
    <w:rsid w:val="00BF072C"/>
    <w:rsid w:val="00BF1605"/>
    <w:rsid w:val="00BF1F42"/>
    <w:rsid w:val="00BF2598"/>
    <w:rsid w:val="00BF36E8"/>
    <w:rsid w:val="00BF541D"/>
    <w:rsid w:val="00BF7231"/>
    <w:rsid w:val="00C022E4"/>
    <w:rsid w:val="00C03424"/>
    <w:rsid w:val="00C04F67"/>
    <w:rsid w:val="00C06B37"/>
    <w:rsid w:val="00C10C6E"/>
    <w:rsid w:val="00C130B5"/>
    <w:rsid w:val="00C1328C"/>
    <w:rsid w:val="00C13551"/>
    <w:rsid w:val="00C150CE"/>
    <w:rsid w:val="00C166C6"/>
    <w:rsid w:val="00C21F17"/>
    <w:rsid w:val="00C224BA"/>
    <w:rsid w:val="00C23848"/>
    <w:rsid w:val="00C24AA0"/>
    <w:rsid w:val="00C24C6A"/>
    <w:rsid w:val="00C260F9"/>
    <w:rsid w:val="00C2674E"/>
    <w:rsid w:val="00C34EE8"/>
    <w:rsid w:val="00C35381"/>
    <w:rsid w:val="00C377FE"/>
    <w:rsid w:val="00C4041E"/>
    <w:rsid w:val="00C4276D"/>
    <w:rsid w:val="00C4480D"/>
    <w:rsid w:val="00C4656C"/>
    <w:rsid w:val="00C50D56"/>
    <w:rsid w:val="00C51577"/>
    <w:rsid w:val="00C540E9"/>
    <w:rsid w:val="00C56D36"/>
    <w:rsid w:val="00C6588C"/>
    <w:rsid w:val="00C665DD"/>
    <w:rsid w:val="00C807BD"/>
    <w:rsid w:val="00C807C3"/>
    <w:rsid w:val="00C817DB"/>
    <w:rsid w:val="00C82A14"/>
    <w:rsid w:val="00C83412"/>
    <w:rsid w:val="00C84319"/>
    <w:rsid w:val="00C84B3C"/>
    <w:rsid w:val="00C93E39"/>
    <w:rsid w:val="00C951BD"/>
    <w:rsid w:val="00C9533C"/>
    <w:rsid w:val="00C97358"/>
    <w:rsid w:val="00C97C02"/>
    <w:rsid w:val="00CA05F5"/>
    <w:rsid w:val="00CA2760"/>
    <w:rsid w:val="00CA31C7"/>
    <w:rsid w:val="00CB4356"/>
    <w:rsid w:val="00CB4B11"/>
    <w:rsid w:val="00CB5D10"/>
    <w:rsid w:val="00CB6848"/>
    <w:rsid w:val="00CB6C98"/>
    <w:rsid w:val="00CD21EC"/>
    <w:rsid w:val="00CD5BD3"/>
    <w:rsid w:val="00CD7B3F"/>
    <w:rsid w:val="00CD7E4E"/>
    <w:rsid w:val="00CE2EF4"/>
    <w:rsid w:val="00CE6A63"/>
    <w:rsid w:val="00CF7F47"/>
    <w:rsid w:val="00D03B80"/>
    <w:rsid w:val="00D04A8B"/>
    <w:rsid w:val="00D058F3"/>
    <w:rsid w:val="00D05A5B"/>
    <w:rsid w:val="00D05D65"/>
    <w:rsid w:val="00D10B56"/>
    <w:rsid w:val="00D13F12"/>
    <w:rsid w:val="00D15C2C"/>
    <w:rsid w:val="00D15F51"/>
    <w:rsid w:val="00D1631F"/>
    <w:rsid w:val="00D21345"/>
    <w:rsid w:val="00D25425"/>
    <w:rsid w:val="00D26BB1"/>
    <w:rsid w:val="00D332D6"/>
    <w:rsid w:val="00D343CF"/>
    <w:rsid w:val="00D346DF"/>
    <w:rsid w:val="00D364E9"/>
    <w:rsid w:val="00D365AE"/>
    <w:rsid w:val="00D368E9"/>
    <w:rsid w:val="00D45CEC"/>
    <w:rsid w:val="00D464DF"/>
    <w:rsid w:val="00D50871"/>
    <w:rsid w:val="00D56B61"/>
    <w:rsid w:val="00D62B44"/>
    <w:rsid w:val="00D63BCE"/>
    <w:rsid w:val="00D673B8"/>
    <w:rsid w:val="00D70636"/>
    <w:rsid w:val="00D70DD1"/>
    <w:rsid w:val="00D7241C"/>
    <w:rsid w:val="00D724C4"/>
    <w:rsid w:val="00D729FC"/>
    <w:rsid w:val="00D73242"/>
    <w:rsid w:val="00D758E7"/>
    <w:rsid w:val="00D7661B"/>
    <w:rsid w:val="00D86BAA"/>
    <w:rsid w:val="00D94C57"/>
    <w:rsid w:val="00D95EDF"/>
    <w:rsid w:val="00D97739"/>
    <w:rsid w:val="00DA32EF"/>
    <w:rsid w:val="00DA5017"/>
    <w:rsid w:val="00DB2111"/>
    <w:rsid w:val="00DB2498"/>
    <w:rsid w:val="00DC278B"/>
    <w:rsid w:val="00DC4E2F"/>
    <w:rsid w:val="00DC5038"/>
    <w:rsid w:val="00DC64D7"/>
    <w:rsid w:val="00DD1C88"/>
    <w:rsid w:val="00DD6584"/>
    <w:rsid w:val="00DD6A3A"/>
    <w:rsid w:val="00DD6CFA"/>
    <w:rsid w:val="00DE0D77"/>
    <w:rsid w:val="00DF2421"/>
    <w:rsid w:val="00DF4DA6"/>
    <w:rsid w:val="00DF4E6B"/>
    <w:rsid w:val="00DF5465"/>
    <w:rsid w:val="00DF6ADE"/>
    <w:rsid w:val="00DF7B10"/>
    <w:rsid w:val="00E0004B"/>
    <w:rsid w:val="00E02B6E"/>
    <w:rsid w:val="00E03BDA"/>
    <w:rsid w:val="00E0400B"/>
    <w:rsid w:val="00E05050"/>
    <w:rsid w:val="00E0746A"/>
    <w:rsid w:val="00E11674"/>
    <w:rsid w:val="00E11943"/>
    <w:rsid w:val="00E11CBD"/>
    <w:rsid w:val="00E11DDB"/>
    <w:rsid w:val="00E11DF2"/>
    <w:rsid w:val="00E14C4A"/>
    <w:rsid w:val="00E16957"/>
    <w:rsid w:val="00E16B38"/>
    <w:rsid w:val="00E2001F"/>
    <w:rsid w:val="00E201A0"/>
    <w:rsid w:val="00E2111B"/>
    <w:rsid w:val="00E251F8"/>
    <w:rsid w:val="00E25237"/>
    <w:rsid w:val="00E259AC"/>
    <w:rsid w:val="00E334DB"/>
    <w:rsid w:val="00E344D6"/>
    <w:rsid w:val="00E35A74"/>
    <w:rsid w:val="00E363A9"/>
    <w:rsid w:val="00E40454"/>
    <w:rsid w:val="00E418F5"/>
    <w:rsid w:val="00E42AF9"/>
    <w:rsid w:val="00E42BCA"/>
    <w:rsid w:val="00E431D8"/>
    <w:rsid w:val="00E44C3F"/>
    <w:rsid w:val="00E531DB"/>
    <w:rsid w:val="00E558EB"/>
    <w:rsid w:val="00E55C82"/>
    <w:rsid w:val="00E60A1C"/>
    <w:rsid w:val="00E62ED3"/>
    <w:rsid w:val="00E630BC"/>
    <w:rsid w:val="00E63809"/>
    <w:rsid w:val="00E72374"/>
    <w:rsid w:val="00E742C6"/>
    <w:rsid w:val="00E75E63"/>
    <w:rsid w:val="00E80020"/>
    <w:rsid w:val="00E81568"/>
    <w:rsid w:val="00E81BE9"/>
    <w:rsid w:val="00E82389"/>
    <w:rsid w:val="00E8279C"/>
    <w:rsid w:val="00E82C02"/>
    <w:rsid w:val="00E8733D"/>
    <w:rsid w:val="00E87A1B"/>
    <w:rsid w:val="00E91428"/>
    <w:rsid w:val="00E9188C"/>
    <w:rsid w:val="00E93840"/>
    <w:rsid w:val="00E94071"/>
    <w:rsid w:val="00E94307"/>
    <w:rsid w:val="00EA1264"/>
    <w:rsid w:val="00EA1E70"/>
    <w:rsid w:val="00EA2A10"/>
    <w:rsid w:val="00EA4FE5"/>
    <w:rsid w:val="00EA7818"/>
    <w:rsid w:val="00EB06DA"/>
    <w:rsid w:val="00EB11A0"/>
    <w:rsid w:val="00EB610B"/>
    <w:rsid w:val="00EB68D9"/>
    <w:rsid w:val="00EC1293"/>
    <w:rsid w:val="00ED0FFB"/>
    <w:rsid w:val="00ED18AC"/>
    <w:rsid w:val="00ED590E"/>
    <w:rsid w:val="00ED6380"/>
    <w:rsid w:val="00ED7772"/>
    <w:rsid w:val="00EE7BD1"/>
    <w:rsid w:val="00EF072B"/>
    <w:rsid w:val="00EF21AD"/>
    <w:rsid w:val="00EF54EC"/>
    <w:rsid w:val="00EF62C8"/>
    <w:rsid w:val="00F001D6"/>
    <w:rsid w:val="00F0169A"/>
    <w:rsid w:val="00F024EC"/>
    <w:rsid w:val="00F0414D"/>
    <w:rsid w:val="00F050F9"/>
    <w:rsid w:val="00F053ED"/>
    <w:rsid w:val="00F0679A"/>
    <w:rsid w:val="00F1068B"/>
    <w:rsid w:val="00F15E10"/>
    <w:rsid w:val="00F163C7"/>
    <w:rsid w:val="00F21271"/>
    <w:rsid w:val="00F24FC4"/>
    <w:rsid w:val="00F25E4B"/>
    <w:rsid w:val="00F25EEF"/>
    <w:rsid w:val="00F2670B"/>
    <w:rsid w:val="00F30F64"/>
    <w:rsid w:val="00F30F94"/>
    <w:rsid w:val="00F34466"/>
    <w:rsid w:val="00F36EC4"/>
    <w:rsid w:val="00F379FF"/>
    <w:rsid w:val="00F40609"/>
    <w:rsid w:val="00F40F29"/>
    <w:rsid w:val="00F41731"/>
    <w:rsid w:val="00F43BF4"/>
    <w:rsid w:val="00F43E94"/>
    <w:rsid w:val="00F445CC"/>
    <w:rsid w:val="00F4793C"/>
    <w:rsid w:val="00F50986"/>
    <w:rsid w:val="00F5160D"/>
    <w:rsid w:val="00F529AB"/>
    <w:rsid w:val="00F537C6"/>
    <w:rsid w:val="00F56B2C"/>
    <w:rsid w:val="00F56E2A"/>
    <w:rsid w:val="00F57CA9"/>
    <w:rsid w:val="00F6033D"/>
    <w:rsid w:val="00F60E4D"/>
    <w:rsid w:val="00F60F6A"/>
    <w:rsid w:val="00F62592"/>
    <w:rsid w:val="00F64A90"/>
    <w:rsid w:val="00F65CA3"/>
    <w:rsid w:val="00F73E77"/>
    <w:rsid w:val="00F74C17"/>
    <w:rsid w:val="00F841CA"/>
    <w:rsid w:val="00F851E0"/>
    <w:rsid w:val="00F9069B"/>
    <w:rsid w:val="00F923DA"/>
    <w:rsid w:val="00F9324E"/>
    <w:rsid w:val="00F94861"/>
    <w:rsid w:val="00FA0B3D"/>
    <w:rsid w:val="00FA2AF8"/>
    <w:rsid w:val="00FB00A6"/>
    <w:rsid w:val="00FB433E"/>
    <w:rsid w:val="00FB52D6"/>
    <w:rsid w:val="00FC6F65"/>
    <w:rsid w:val="00FD05DD"/>
    <w:rsid w:val="00FD08DF"/>
    <w:rsid w:val="00FD1AA9"/>
    <w:rsid w:val="00FD29AB"/>
    <w:rsid w:val="00FD3F55"/>
    <w:rsid w:val="00FE2F16"/>
    <w:rsid w:val="00FE70B5"/>
    <w:rsid w:val="00FF2F28"/>
    <w:rsid w:val="00FF6576"/>
    <w:rsid w:val="2C7BF83F"/>
    <w:rsid w:val="2F39FF84"/>
    <w:rsid w:val="2F49E51F"/>
    <w:rsid w:val="32BEBCDE"/>
    <w:rsid w:val="48FA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8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1"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3F82"/>
    <w:rPr>
      <w:rFonts w:ascii="Segoe UI" w:hAnsi="Segoe UI"/>
    </w:rPr>
  </w:style>
  <w:style w:type="paragraph" w:styleId="Heading1">
    <w:name w:val="heading 1"/>
    <w:basedOn w:val="Heading2"/>
    <w:next w:val="BodyText"/>
    <w:link w:val="Heading1Char"/>
    <w:qFormat/>
    <w:rsid w:val="005B2B68"/>
    <w:pPr>
      <w:numPr>
        <w:numId w:val="8"/>
      </w:numPr>
      <w:outlineLvl w:val="0"/>
    </w:pPr>
    <w:rPr>
      <w:rFonts w:ascii="Segoe UI Semibold" w:eastAsiaTheme="minorHAnsi" w:hAnsi="Segoe UI Semibold"/>
      <w:color w:val="009FE3" w:themeColor="background2"/>
      <w:sz w:val="24"/>
      <w:szCs w:val="24"/>
      <w:lang w:eastAsia="en-GB" w:bidi="ar-SA"/>
    </w:rPr>
  </w:style>
  <w:style w:type="paragraph" w:styleId="Heading2">
    <w:name w:val="heading 2"/>
    <w:basedOn w:val="Normal"/>
    <w:next w:val="BodyText"/>
    <w:link w:val="Heading2Char"/>
    <w:qFormat/>
    <w:rsid w:val="009E6453"/>
    <w:pPr>
      <w:keepNext/>
      <w:spacing w:before="180" w:after="120" w:line="240" w:lineRule="auto"/>
      <w:outlineLvl w:val="1"/>
    </w:pPr>
    <w:rPr>
      <w:rFonts w:eastAsiaTheme="majorEastAsia"/>
      <w:bCs/>
      <w:iCs/>
      <w:color w:val="1192D1"/>
      <w:sz w:val="22"/>
      <w:szCs w:val="28"/>
      <w:lang w:val="en-GB"/>
    </w:rPr>
  </w:style>
  <w:style w:type="paragraph" w:styleId="Heading3">
    <w:name w:val="heading 3"/>
    <w:basedOn w:val="Normal"/>
    <w:next w:val="BodyText"/>
    <w:link w:val="Heading3Char"/>
    <w:qFormat/>
    <w:rsid w:val="00C82A14"/>
    <w:pPr>
      <w:keepNext/>
      <w:spacing w:before="180" w:after="60" w:line="240" w:lineRule="auto"/>
      <w:outlineLvl w:val="2"/>
    </w:pPr>
    <w:rPr>
      <w:rFonts w:eastAsiaTheme="majorEastAsia"/>
      <w:bCs/>
      <w:color w:val="797979" w:themeColor="accent3"/>
      <w:sz w:val="21"/>
      <w:szCs w:val="26"/>
      <w:lang w:val="en-GB"/>
    </w:rPr>
  </w:style>
  <w:style w:type="paragraph" w:styleId="Heading5">
    <w:name w:val="heading 5"/>
    <w:basedOn w:val="Normal"/>
    <w:next w:val="Normal"/>
    <w:link w:val="Heading5Char"/>
    <w:uiPriority w:val="9"/>
    <w:semiHidden/>
    <w:unhideWhenUsed/>
    <w:qFormat/>
    <w:rsid w:val="00C807BD"/>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C807BD"/>
    <w:pPr>
      <w:spacing w:before="240" w:after="60" w:line="240" w:lineRule="auto"/>
      <w:outlineLvl w:val="5"/>
    </w:pPr>
    <w:rPr>
      <w:b/>
      <w:bCs/>
    </w:rPr>
  </w:style>
  <w:style w:type="paragraph" w:styleId="Heading7">
    <w:name w:val="heading 7"/>
    <w:basedOn w:val="Normal"/>
    <w:next w:val="Normal"/>
    <w:link w:val="Heading7Char"/>
    <w:uiPriority w:val="9"/>
    <w:semiHidden/>
    <w:unhideWhenUsed/>
    <w:qFormat/>
    <w:rsid w:val="00C807BD"/>
    <w:p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C807BD"/>
    <w:p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C807BD"/>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B68"/>
    <w:rPr>
      <w:rFonts w:ascii="Segoe UI Semibold" w:hAnsi="Segoe UI Semibold"/>
      <w:bCs/>
      <w:iCs/>
      <w:color w:val="009FE3" w:themeColor="background2"/>
      <w:sz w:val="24"/>
      <w:szCs w:val="24"/>
      <w:lang w:val="en-GB" w:eastAsia="en-GB" w:bidi="ar-SA"/>
    </w:rPr>
  </w:style>
  <w:style w:type="paragraph" w:styleId="BodyText">
    <w:name w:val="Body Text"/>
    <w:basedOn w:val="Normal"/>
    <w:link w:val="BodyTextChar"/>
    <w:qFormat/>
    <w:rsid w:val="007D6506"/>
    <w:pPr>
      <w:spacing w:line="240" w:lineRule="auto"/>
      <w:jc w:val="both"/>
    </w:pPr>
    <w:rPr>
      <w:lang w:val="en-GB"/>
    </w:rPr>
  </w:style>
  <w:style w:type="character" w:customStyle="1" w:styleId="BodyTextChar">
    <w:name w:val="Body Text Char"/>
    <w:basedOn w:val="DefaultParagraphFont"/>
    <w:link w:val="BodyText"/>
    <w:rsid w:val="007D6506"/>
    <w:rPr>
      <w:rFonts w:ascii="Segoe UI" w:hAnsi="Segoe UI"/>
      <w:lang w:val="en-GB"/>
    </w:rPr>
  </w:style>
  <w:style w:type="character" w:customStyle="1" w:styleId="Heading2Char">
    <w:name w:val="Heading 2 Char"/>
    <w:basedOn w:val="DefaultParagraphFont"/>
    <w:link w:val="Heading2"/>
    <w:rsid w:val="009E6453"/>
    <w:rPr>
      <w:rFonts w:ascii="Segoe UI" w:eastAsiaTheme="majorEastAsia" w:hAnsi="Segoe UI"/>
      <w:bCs/>
      <w:iCs/>
      <w:color w:val="1192D1"/>
      <w:sz w:val="22"/>
      <w:szCs w:val="28"/>
      <w:lang w:val="en-GB"/>
    </w:rPr>
  </w:style>
  <w:style w:type="character" w:customStyle="1" w:styleId="Heading3Char">
    <w:name w:val="Heading 3 Char"/>
    <w:basedOn w:val="DefaultParagraphFont"/>
    <w:link w:val="Heading3"/>
    <w:rsid w:val="00C82A14"/>
    <w:rPr>
      <w:rFonts w:ascii="Segoe UI" w:eastAsiaTheme="majorEastAsia" w:hAnsi="Segoe UI"/>
      <w:bCs/>
      <w:color w:val="797979" w:themeColor="accent3"/>
      <w:sz w:val="21"/>
      <w:szCs w:val="26"/>
      <w:lang w:val="en-GB"/>
    </w:rPr>
  </w:style>
  <w:style w:type="character" w:customStyle="1" w:styleId="Heading5Char">
    <w:name w:val="Heading 5 Char"/>
    <w:basedOn w:val="DefaultParagraphFont"/>
    <w:link w:val="Heading5"/>
    <w:uiPriority w:val="9"/>
    <w:semiHidden/>
    <w:rsid w:val="00C807BD"/>
    <w:rPr>
      <w:b/>
      <w:bCs/>
      <w:i/>
      <w:iCs/>
      <w:sz w:val="26"/>
      <w:szCs w:val="26"/>
    </w:rPr>
  </w:style>
  <w:style w:type="character" w:customStyle="1" w:styleId="Heading6Char">
    <w:name w:val="Heading 6 Char"/>
    <w:basedOn w:val="DefaultParagraphFont"/>
    <w:link w:val="Heading6"/>
    <w:uiPriority w:val="9"/>
    <w:semiHidden/>
    <w:rsid w:val="00C807BD"/>
    <w:rPr>
      <w:b/>
      <w:bCs/>
    </w:rPr>
  </w:style>
  <w:style w:type="character" w:customStyle="1" w:styleId="Heading7Char">
    <w:name w:val="Heading 7 Char"/>
    <w:basedOn w:val="DefaultParagraphFont"/>
    <w:link w:val="Heading7"/>
    <w:uiPriority w:val="9"/>
    <w:semiHidden/>
    <w:rsid w:val="00C807BD"/>
    <w:rPr>
      <w:sz w:val="24"/>
      <w:szCs w:val="24"/>
    </w:rPr>
  </w:style>
  <w:style w:type="character" w:customStyle="1" w:styleId="Heading8Char">
    <w:name w:val="Heading 8 Char"/>
    <w:basedOn w:val="DefaultParagraphFont"/>
    <w:link w:val="Heading8"/>
    <w:uiPriority w:val="9"/>
    <w:semiHidden/>
    <w:rsid w:val="00C807BD"/>
    <w:rPr>
      <w:i/>
      <w:iCs/>
      <w:sz w:val="24"/>
      <w:szCs w:val="24"/>
    </w:rPr>
  </w:style>
  <w:style w:type="character" w:customStyle="1" w:styleId="Heading9Char">
    <w:name w:val="Heading 9 Char"/>
    <w:basedOn w:val="DefaultParagraphFont"/>
    <w:link w:val="Heading9"/>
    <w:uiPriority w:val="9"/>
    <w:semiHidden/>
    <w:rsid w:val="00C807BD"/>
    <w:rPr>
      <w:rFonts w:asciiTheme="majorHAnsi" w:eastAsiaTheme="majorEastAsia" w:hAnsiTheme="majorHAnsi"/>
    </w:rPr>
  </w:style>
  <w:style w:type="paragraph" w:styleId="List">
    <w:name w:val="List"/>
    <w:basedOn w:val="Normal"/>
    <w:link w:val="ListChar"/>
    <w:qFormat/>
    <w:rsid w:val="00821C0B"/>
    <w:pPr>
      <w:numPr>
        <w:numId w:val="4"/>
      </w:numPr>
      <w:contextualSpacing/>
    </w:pPr>
    <w:rPr>
      <w:lang w:val="en-GB"/>
    </w:rPr>
  </w:style>
  <w:style w:type="paragraph" w:styleId="ListBullet">
    <w:name w:val="List Bullet"/>
    <w:basedOn w:val="Normal"/>
    <w:uiPriority w:val="1"/>
    <w:semiHidden/>
    <w:qFormat/>
    <w:rsid w:val="00C807BD"/>
    <w:pPr>
      <w:numPr>
        <w:numId w:val="1"/>
      </w:numPr>
      <w:spacing w:after="240"/>
      <w:contextualSpacing/>
    </w:pPr>
    <w:rPr>
      <w:lang w:val="en-GB"/>
    </w:rPr>
  </w:style>
  <w:style w:type="paragraph" w:styleId="ListNumber">
    <w:name w:val="List Number"/>
    <w:basedOn w:val="Normal"/>
    <w:uiPriority w:val="1"/>
    <w:semiHidden/>
    <w:qFormat/>
    <w:rsid w:val="00C807BD"/>
    <w:pPr>
      <w:numPr>
        <w:numId w:val="2"/>
      </w:numPr>
      <w:spacing w:after="240"/>
      <w:contextualSpacing/>
    </w:pPr>
    <w:rPr>
      <w:lang w:val="en-GB"/>
    </w:rPr>
  </w:style>
  <w:style w:type="paragraph" w:styleId="Title">
    <w:name w:val="Title"/>
    <w:basedOn w:val="Normal"/>
    <w:next w:val="Heading1"/>
    <w:link w:val="TitleChar"/>
    <w:uiPriority w:val="2"/>
    <w:qFormat/>
    <w:rsid w:val="007D6506"/>
    <w:pPr>
      <w:spacing w:before="240" w:after="720" w:line="240" w:lineRule="auto"/>
      <w:jc w:val="center"/>
    </w:pPr>
    <w:rPr>
      <w:b/>
      <w:color w:val="009FE3" w:themeColor="background2"/>
      <w:sz w:val="44"/>
      <w:szCs w:val="44"/>
      <w:lang w:val="en-GB"/>
    </w:rPr>
  </w:style>
  <w:style w:type="character" w:customStyle="1" w:styleId="TitleChar">
    <w:name w:val="Title Char"/>
    <w:basedOn w:val="DefaultParagraphFont"/>
    <w:link w:val="Title"/>
    <w:uiPriority w:val="2"/>
    <w:rsid w:val="007D6506"/>
    <w:rPr>
      <w:rFonts w:ascii="Segoe UI" w:hAnsi="Segoe UI"/>
      <w:b/>
      <w:color w:val="009FE3" w:themeColor="background2"/>
      <w:sz w:val="44"/>
      <w:szCs w:val="44"/>
      <w:lang w:val="en-GB"/>
    </w:rPr>
  </w:style>
  <w:style w:type="paragraph" w:styleId="Closing">
    <w:name w:val="Closing"/>
    <w:basedOn w:val="Normal"/>
    <w:link w:val="ClosingChar"/>
    <w:uiPriority w:val="1"/>
    <w:qFormat/>
    <w:rsid w:val="007D6506"/>
    <w:pPr>
      <w:spacing w:before="360" w:after="840" w:line="240" w:lineRule="auto"/>
    </w:pPr>
    <w:rPr>
      <w:lang w:val="en-GB"/>
    </w:rPr>
  </w:style>
  <w:style w:type="character" w:customStyle="1" w:styleId="ClosingChar">
    <w:name w:val="Closing Char"/>
    <w:basedOn w:val="DefaultParagraphFont"/>
    <w:link w:val="Closing"/>
    <w:uiPriority w:val="1"/>
    <w:rsid w:val="007D6506"/>
    <w:rPr>
      <w:rFonts w:ascii="Segoe UI" w:hAnsi="Segoe UI"/>
      <w:lang w:val="en-GB"/>
    </w:rPr>
  </w:style>
  <w:style w:type="paragraph" w:styleId="Signature">
    <w:name w:val="Signature"/>
    <w:basedOn w:val="Normal"/>
    <w:link w:val="SignatureChar"/>
    <w:qFormat/>
    <w:rsid w:val="007D6506"/>
    <w:pPr>
      <w:spacing w:after="0" w:line="240" w:lineRule="auto"/>
    </w:pPr>
    <w:rPr>
      <w:rFonts w:cstheme="minorBidi"/>
      <w:b/>
      <w:szCs w:val="22"/>
      <w:lang w:val="en-GB" w:bidi="ar-SA"/>
    </w:rPr>
  </w:style>
  <w:style w:type="character" w:customStyle="1" w:styleId="SignatureChar">
    <w:name w:val="Signature Char"/>
    <w:basedOn w:val="DefaultParagraphFont"/>
    <w:link w:val="Signature"/>
    <w:rsid w:val="007D6506"/>
    <w:rPr>
      <w:rFonts w:ascii="Segoe UI" w:hAnsi="Segoe UI" w:cstheme="minorBidi"/>
      <w:b/>
      <w:szCs w:val="22"/>
      <w:lang w:val="en-GB" w:bidi="ar-SA"/>
    </w:rPr>
  </w:style>
  <w:style w:type="paragraph" w:styleId="Salutation">
    <w:name w:val="Salutation"/>
    <w:basedOn w:val="Normal"/>
    <w:next w:val="Normal"/>
    <w:link w:val="SalutationChar"/>
    <w:uiPriority w:val="1"/>
    <w:qFormat/>
    <w:rsid w:val="007D6506"/>
    <w:pPr>
      <w:spacing w:after="240" w:line="240" w:lineRule="auto"/>
    </w:pPr>
    <w:rPr>
      <w:lang w:val="en-GB"/>
    </w:rPr>
  </w:style>
  <w:style w:type="character" w:customStyle="1" w:styleId="SalutationChar">
    <w:name w:val="Salutation Char"/>
    <w:basedOn w:val="DefaultParagraphFont"/>
    <w:link w:val="Salutation"/>
    <w:uiPriority w:val="1"/>
    <w:rsid w:val="007D6506"/>
    <w:rPr>
      <w:rFonts w:ascii="Segoe UI" w:hAnsi="Segoe UI"/>
      <w:lang w:val="en-GB"/>
    </w:rPr>
  </w:style>
  <w:style w:type="paragraph" w:styleId="Date">
    <w:name w:val="Date"/>
    <w:basedOn w:val="Normal"/>
    <w:next w:val="Normal"/>
    <w:link w:val="DateChar"/>
    <w:uiPriority w:val="1"/>
    <w:qFormat/>
    <w:rsid w:val="007D6506"/>
    <w:pPr>
      <w:spacing w:after="0" w:line="240" w:lineRule="auto"/>
      <w:jc w:val="right"/>
    </w:pPr>
    <w:rPr>
      <w:sz w:val="22"/>
      <w:lang w:val="en-GB"/>
    </w:rPr>
  </w:style>
  <w:style w:type="character" w:customStyle="1" w:styleId="DateChar">
    <w:name w:val="Date Char"/>
    <w:basedOn w:val="DefaultParagraphFont"/>
    <w:link w:val="Date"/>
    <w:uiPriority w:val="1"/>
    <w:rsid w:val="007D6506"/>
    <w:rPr>
      <w:rFonts w:ascii="Segoe UI" w:hAnsi="Segoe UI"/>
      <w:sz w:val="22"/>
      <w:lang w:val="en-GB"/>
    </w:rPr>
  </w:style>
  <w:style w:type="paragraph" w:styleId="BodyText2">
    <w:name w:val="Body Text 2"/>
    <w:basedOn w:val="BodyText"/>
    <w:link w:val="BodyText2Char"/>
    <w:uiPriority w:val="99"/>
    <w:semiHidden/>
    <w:qFormat/>
    <w:rsid w:val="00C807BD"/>
  </w:style>
  <w:style w:type="character" w:customStyle="1" w:styleId="BodyText2Char">
    <w:name w:val="Body Text 2 Char"/>
    <w:basedOn w:val="DefaultParagraphFont"/>
    <w:link w:val="BodyText2"/>
    <w:uiPriority w:val="99"/>
    <w:semiHidden/>
    <w:rsid w:val="00C807BD"/>
    <w:rPr>
      <w:lang w:val="en-GB"/>
    </w:rPr>
  </w:style>
  <w:style w:type="character" w:styleId="Hyperlink">
    <w:name w:val="Hyperlink"/>
    <w:basedOn w:val="DefaultParagraphFont"/>
    <w:uiPriority w:val="1"/>
    <w:unhideWhenUsed/>
    <w:qFormat/>
    <w:rsid w:val="007D6506"/>
    <w:rPr>
      <w:rFonts w:ascii="Segoe UI" w:hAnsi="Segoe UI"/>
      <w:color w:val="55CBFF" w:themeColor="background2" w:themeTint="99"/>
      <w:sz w:val="20"/>
      <w:u w:val="single"/>
    </w:rPr>
  </w:style>
  <w:style w:type="paragraph" w:styleId="NoSpacing">
    <w:name w:val="No Spacing"/>
    <w:basedOn w:val="Normal"/>
    <w:link w:val="NoSpacingChar"/>
    <w:qFormat/>
    <w:rsid w:val="007D6506"/>
    <w:pPr>
      <w:spacing w:after="0" w:line="240" w:lineRule="auto"/>
    </w:pPr>
    <w:rPr>
      <w:szCs w:val="32"/>
      <w:lang w:val="en-GB"/>
    </w:rPr>
  </w:style>
  <w:style w:type="character" w:customStyle="1" w:styleId="NoSpacingChar">
    <w:name w:val="No Spacing Char"/>
    <w:basedOn w:val="DefaultParagraphFont"/>
    <w:link w:val="NoSpacing"/>
    <w:rsid w:val="007D6506"/>
    <w:rPr>
      <w:rFonts w:ascii="Segoe UI" w:hAnsi="Segoe UI"/>
      <w:szCs w:val="32"/>
      <w:lang w:val="en-GB"/>
    </w:rPr>
  </w:style>
  <w:style w:type="paragraph" w:styleId="TOCHeading">
    <w:name w:val="TOC Heading"/>
    <w:next w:val="Normal"/>
    <w:uiPriority w:val="5"/>
    <w:qFormat/>
    <w:rsid w:val="007D6506"/>
    <w:pPr>
      <w:keepNext/>
      <w:spacing w:before="200"/>
    </w:pPr>
    <w:rPr>
      <w:rFonts w:ascii="Segoe UI" w:eastAsiaTheme="majorEastAsia" w:hAnsi="Segoe UI"/>
      <w:b/>
      <w:bCs/>
      <w:color w:val="009FE3" w:themeColor="background2"/>
      <w:kern w:val="32"/>
      <w:sz w:val="36"/>
      <w:szCs w:val="32"/>
      <w:lang w:val="en-GB"/>
    </w:rPr>
  </w:style>
  <w:style w:type="paragraph" w:customStyle="1" w:styleId="bwFrontPageScheme">
    <w:name w:val="bwFrontPageScheme"/>
    <w:basedOn w:val="Normal"/>
    <w:uiPriority w:val="4"/>
    <w:qFormat/>
    <w:rsid w:val="007D6506"/>
    <w:pPr>
      <w:spacing w:after="0" w:line="240" w:lineRule="auto"/>
      <w:jc w:val="right"/>
    </w:pPr>
    <w:rPr>
      <w:b/>
      <w:color w:val="00446A"/>
      <w:sz w:val="64"/>
      <w:lang w:val="en-GB"/>
    </w:rPr>
  </w:style>
  <w:style w:type="paragraph" w:customStyle="1" w:styleId="bwFrontPageJob">
    <w:name w:val="bwFrontPageJob"/>
    <w:basedOn w:val="Normal"/>
    <w:uiPriority w:val="4"/>
    <w:qFormat/>
    <w:rsid w:val="007D6506"/>
    <w:pPr>
      <w:spacing w:after="0" w:line="240" w:lineRule="auto"/>
      <w:jc w:val="right"/>
    </w:pPr>
    <w:rPr>
      <w:color w:val="00446A"/>
      <w:sz w:val="36"/>
      <w:lang w:val="en-GB"/>
    </w:rPr>
  </w:style>
  <w:style w:type="paragraph" w:customStyle="1" w:styleId="bwFrontPageDetails">
    <w:name w:val="bwFrontPageDetails"/>
    <w:basedOn w:val="Normal"/>
    <w:uiPriority w:val="4"/>
    <w:qFormat/>
    <w:rsid w:val="007D6506"/>
    <w:pPr>
      <w:spacing w:before="60" w:after="0" w:line="240" w:lineRule="auto"/>
      <w:jc w:val="right"/>
    </w:pPr>
    <w:rPr>
      <w:color w:val="00446A"/>
      <w:sz w:val="28"/>
      <w:lang w:val="en-GB"/>
    </w:rPr>
  </w:style>
  <w:style w:type="paragraph" w:customStyle="1" w:styleId="bwFrontPageDate">
    <w:name w:val="bwFrontPageDate"/>
    <w:basedOn w:val="Normal"/>
    <w:uiPriority w:val="4"/>
    <w:qFormat/>
    <w:rsid w:val="007D6506"/>
    <w:pPr>
      <w:spacing w:before="240" w:after="0" w:line="240" w:lineRule="auto"/>
      <w:jc w:val="right"/>
    </w:pPr>
    <w:rPr>
      <w:color w:val="00446A"/>
      <w:lang w:val="en-GB"/>
    </w:rPr>
  </w:style>
  <w:style w:type="paragraph" w:customStyle="1" w:styleId="AppendixHeading">
    <w:name w:val="Appendix Heading"/>
    <w:basedOn w:val="Normal"/>
    <w:next w:val="Normal"/>
    <w:uiPriority w:val="2"/>
    <w:qFormat/>
    <w:rsid w:val="007D6506"/>
    <w:pPr>
      <w:pageBreakBefore/>
      <w:numPr>
        <w:numId w:val="3"/>
      </w:numPr>
      <w:spacing w:before="240" w:after="240" w:line="240" w:lineRule="auto"/>
    </w:pPr>
    <w:rPr>
      <w:b/>
      <w:color w:val="009FE3" w:themeColor="background2"/>
      <w:sz w:val="36"/>
      <w:lang w:val="en-GB"/>
    </w:rPr>
  </w:style>
  <w:style w:type="paragraph" w:customStyle="1" w:styleId="bwFooterLeft">
    <w:name w:val="bwFooterLeft"/>
    <w:basedOn w:val="Normal"/>
    <w:uiPriority w:val="3"/>
    <w:qFormat/>
    <w:rsid w:val="007D6506"/>
    <w:pPr>
      <w:spacing w:after="0" w:line="240" w:lineRule="auto"/>
    </w:pPr>
    <w:rPr>
      <w:color w:val="0069B4" w:themeColor="text2"/>
      <w:sz w:val="13"/>
      <w:szCs w:val="22"/>
      <w:lang w:val="en-GB"/>
    </w:rPr>
  </w:style>
  <w:style w:type="paragraph" w:customStyle="1" w:styleId="bwFooterRight">
    <w:name w:val="bwFooterRight"/>
    <w:basedOn w:val="Normal"/>
    <w:uiPriority w:val="3"/>
    <w:qFormat/>
    <w:rsid w:val="007D6506"/>
    <w:pPr>
      <w:spacing w:after="0" w:line="240" w:lineRule="auto"/>
      <w:jc w:val="right"/>
    </w:pPr>
    <w:rPr>
      <w:color w:val="0069B4" w:themeColor="text2"/>
      <w:sz w:val="13"/>
      <w:szCs w:val="22"/>
      <w:lang w:val="en-GB"/>
    </w:rPr>
  </w:style>
  <w:style w:type="paragraph" w:customStyle="1" w:styleId="AppendixBodyText">
    <w:name w:val="Appendix Body Text"/>
    <w:basedOn w:val="Normal"/>
    <w:link w:val="AppendixBodyTextChar"/>
    <w:uiPriority w:val="2"/>
    <w:qFormat/>
    <w:rsid w:val="007D6506"/>
    <w:pPr>
      <w:spacing w:line="240" w:lineRule="auto"/>
      <w:jc w:val="both"/>
    </w:pPr>
    <w:rPr>
      <w:lang w:val="en-GB"/>
    </w:rPr>
  </w:style>
  <w:style w:type="character" w:customStyle="1" w:styleId="AppendixBodyTextChar">
    <w:name w:val="Appendix Body Text Char"/>
    <w:basedOn w:val="DefaultParagraphFont"/>
    <w:link w:val="AppendixBodyText"/>
    <w:uiPriority w:val="2"/>
    <w:rsid w:val="007D6506"/>
    <w:rPr>
      <w:rFonts w:ascii="Segoe UI" w:hAnsi="Segoe UI"/>
      <w:lang w:val="en-GB"/>
    </w:rPr>
  </w:style>
  <w:style w:type="paragraph" w:customStyle="1" w:styleId="Subject">
    <w:name w:val="Subject"/>
    <w:basedOn w:val="Normal"/>
    <w:next w:val="BodyText"/>
    <w:link w:val="SubjectChar"/>
    <w:qFormat/>
    <w:rsid w:val="00821C0B"/>
    <w:pPr>
      <w:spacing w:after="300" w:line="240" w:lineRule="auto"/>
      <w:contextualSpacing/>
    </w:pPr>
    <w:rPr>
      <w:rFonts w:cstheme="minorBidi"/>
      <w:b/>
      <w:color w:val="1192D1"/>
      <w:sz w:val="22"/>
      <w:szCs w:val="22"/>
      <w:lang w:val="en-GB" w:bidi="ar-SA"/>
    </w:rPr>
  </w:style>
  <w:style w:type="paragraph" w:customStyle="1" w:styleId="AppendixListBullet">
    <w:name w:val="Appendix List Bullet"/>
    <w:basedOn w:val="ListBullet"/>
    <w:uiPriority w:val="2"/>
    <w:semiHidden/>
    <w:qFormat/>
    <w:rsid w:val="00C807BD"/>
    <w:pPr>
      <w:numPr>
        <w:numId w:val="0"/>
      </w:numPr>
    </w:pPr>
  </w:style>
  <w:style w:type="paragraph" w:customStyle="1" w:styleId="AppendixListNumber">
    <w:name w:val="Appendix List Number"/>
    <w:basedOn w:val="ListNumber"/>
    <w:uiPriority w:val="2"/>
    <w:semiHidden/>
    <w:qFormat/>
    <w:rsid w:val="00C807BD"/>
    <w:pPr>
      <w:numPr>
        <w:numId w:val="0"/>
      </w:numPr>
    </w:pPr>
  </w:style>
  <w:style w:type="paragraph" w:customStyle="1" w:styleId="AppendixSubheading">
    <w:name w:val="Appendix Subheading"/>
    <w:basedOn w:val="Normal"/>
    <w:next w:val="AppendixBodyText"/>
    <w:uiPriority w:val="2"/>
    <w:qFormat/>
    <w:rsid w:val="007D6506"/>
    <w:pPr>
      <w:spacing w:before="240" w:after="120" w:line="240" w:lineRule="auto"/>
    </w:pPr>
    <w:rPr>
      <w:b/>
      <w:color w:val="009FE3" w:themeColor="background2"/>
      <w:sz w:val="28"/>
      <w:lang w:val="en-GB"/>
    </w:rPr>
  </w:style>
  <w:style w:type="paragraph" w:customStyle="1" w:styleId="LetterSubheading">
    <w:name w:val="Letter Subheading"/>
    <w:basedOn w:val="Subject"/>
    <w:next w:val="BodyText"/>
    <w:link w:val="LetterSubheadingChar"/>
    <w:uiPriority w:val="1"/>
    <w:qFormat/>
    <w:rsid w:val="00F30F64"/>
    <w:pPr>
      <w:spacing w:after="120"/>
    </w:pPr>
  </w:style>
  <w:style w:type="table" w:styleId="TableGrid">
    <w:name w:val="Table Grid"/>
    <w:basedOn w:val="TableNormal"/>
    <w:uiPriority w:val="59"/>
    <w:rsid w:val="00E05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05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050"/>
  </w:style>
  <w:style w:type="paragraph" w:styleId="Footer">
    <w:name w:val="footer"/>
    <w:basedOn w:val="Normal"/>
    <w:link w:val="FooterChar"/>
    <w:uiPriority w:val="99"/>
    <w:unhideWhenUsed/>
    <w:rsid w:val="00E05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50"/>
  </w:style>
  <w:style w:type="paragraph" w:styleId="ListParagraph">
    <w:name w:val="List Paragraph"/>
    <w:basedOn w:val="Normal"/>
    <w:uiPriority w:val="34"/>
    <w:qFormat/>
    <w:rsid w:val="00A34462"/>
    <w:pPr>
      <w:ind w:left="720"/>
      <w:contextualSpacing/>
    </w:pPr>
  </w:style>
  <w:style w:type="character" w:styleId="PlaceholderText">
    <w:name w:val="Placeholder Text"/>
    <w:basedOn w:val="DefaultParagraphFont"/>
    <w:uiPriority w:val="99"/>
    <w:semiHidden/>
    <w:rsid w:val="00572FBF"/>
    <w:rPr>
      <w:color w:val="808080"/>
    </w:rPr>
  </w:style>
  <w:style w:type="paragraph" w:styleId="BalloonText">
    <w:name w:val="Balloon Text"/>
    <w:basedOn w:val="Normal"/>
    <w:link w:val="BalloonTextChar"/>
    <w:uiPriority w:val="99"/>
    <w:semiHidden/>
    <w:unhideWhenUsed/>
    <w:rsid w:val="005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BF"/>
    <w:rPr>
      <w:rFonts w:ascii="Tahoma" w:hAnsi="Tahoma" w:cs="Tahoma"/>
      <w:sz w:val="16"/>
      <w:szCs w:val="16"/>
    </w:rPr>
  </w:style>
  <w:style w:type="character" w:styleId="FollowedHyperlink">
    <w:name w:val="FollowedHyperlink"/>
    <w:basedOn w:val="DefaultParagraphFont"/>
    <w:uiPriority w:val="99"/>
    <w:semiHidden/>
    <w:unhideWhenUsed/>
    <w:rsid w:val="000046BF"/>
    <w:rPr>
      <w:color w:val="4B08A1" w:themeColor="followedHyperlink"/>
      <w:u w:val="single"/>
    </w:rPr>
  </w:style>
  <w:style w:type="paragraph" w:customStyle="1" w:styleId="Level2">
    <w:name w:val="Level 2"/>
    <w:basedOn w:val="Normal"/>
    <w:next w:val="Normal"/>
    <w:link w:val="Level2Char"/>
    <w:uiPriority w:val="6"/>
    <w:qFormat/>
    <w:rsid w:val="00E75E63"/>
    <w:pPr>
      <w:tabs>
        <w:tab w:val="num" w:pos="3589"/>
      </w:tabs>
      <w:spacing w:before="120" w:after="0" w:line="240" w:lineRule="auto"/>
      <w:ind w:left="706" w:hanging="706"/>
      <w:jc w:val="both"/>
      <w:outlineLvl w:val="1"/>
    </w:pPr>
    <w:rPr>
      <w:rFonts w:ascii="Arial" w:eastAsia="Arial Unicode MS" w:hAnsi="Arial" w:cs="Arial"/>
      <w:sz w:val="24"/>
      <w:szCs w:val="24"/>
      <w:lang w:val="en-GB" w:eastAsia="en-GB" w:bidi="ar-SA"/>
    </w:rPr>
  </w:style>
  <w:style w:type="paragraph" w:customStyle="1" w:styleId="Level3">
    <w:name w:val="Level 3"/>
    <w:basedOn w:val="Normal"/>
    <w:next w:val="Normal"/>
    <w:link w:val="Level3Char"/>
    <w:uiPriority w:val="6"/>
    <w:qFormat/>
    <w:rsid w:val="00E75E63"/>
    <w:pPr>
      <w:tabs>
        <w:tab w:val="num" w:pos="3948"/>
      </w:tabs>
      <w:spacing w:after="210" w:line="264" w:lineRule="auto"/>
      <w:ind w:left="3948" w:hanging="708"/>
      <w:jc w:val="both"/>
      <w:outlineLvl w:val="2"/>
    </w:pPr>
    <w:rPr>
      <w:rFonts w:ascii="Arial" w:eastAsia="Arial Unicode MS" w:hAnsi="Arial"/>
      <w:sz w:val="21"/>
      <w:szCs w:val="21"/>
      <w:lang w:val="en-GB" w:eastAsia="en-GB" w:bidi="ar-SA"/>
    </w:rPr>
  </w:style>
  <w:style w:type="paragraph" w:customStyle="1" w:styleId="Level4">
    <w:name w:val="Level 4"/>
    <w:basedOn w:val="Normal"/>
    <w:next w:val="Normal"/>
    <w:uiPriority w:val="6"/>
    <w:qFormat/>
    <w:rsid w:val="00E75E63"/>
    <w:pPr>
      <w:tabs>
        <w:tab w:val="num" w:pos="5006"/>
      </w:tabs>
      <w:spacing w:after="210" w:line="264" w:lineRule="auto"/>
      <w:ind w:left="5006" w:hanging="709"/>
      <w:jc w:val="both"/>
      <w:outlineLvl w:val="3"/>
    </w:pPr>
    <w:rPr>
      <w:rFonts w:ascii="Arial" w:eastAsia="Arial Unicode MS" w:hAnsi="Arial"/>
      <w:sz w:val="21"/>
      <w:szCs w:val="21"/>
      <w:lang w:val="en-GB" w:eastAsia="en-GB" w:bidi="ar-SA"/>
    </w:rPr>
  </w:style>
  <w:style w:type="paragraph" w:customStyle="1" w:styleId="Level5">
    <w:name w:val="Level 5"/>
    <w:basedOn w:val="Normal"/>
    <w:next w:val="Normal"/>
    <w:uiPriority w:val="6"/>
    <w:qFormat/>
    <w:rsid w:val="00E75E63"/>
    <w:pPr>
      <w:tabs>
        <w:tab w:val="num" w:pos="5715"/>
      </w:tabs>
      <w:spacing w:after="210" w:line="264" w:lineRule="auto"/>
      <w:ind w:left="5715" w:hanging="709"/>
      <w:jc w:val="both"/>
      <w:outlineLvl w:val="4"/>
    </w:pPr>
    <w:rPr>
      <w:rFonts w:ascii="Arial" w:eastAsia="Arial Unicode MS" w:hAnsi="Arial"/>
      <w:sz w:val="21"/>
      <w:szCs w:val="21"/>
      <w:lang w:val="en-GB" w:eastAsia="en-GB" w:bidi="ar-SA"/>
    </w:rPr>
  </w:style>
  <w:style w:type="character" w:customStyle="1" w:styleId="Level2Char">
    <w:name w:val="Level 2 Char"/>
    <w:basedOn w:val="DefaultParagraphFont"/>
    <w:link w:val="Level2"/>
    <w:uiPriority w:val="6"/>
    <w:rsid w:val="00E75E63"/>
    <w:rPr>
      <w:rFonts w:eastAsia="Arial Unicode MS" w:cs="Arial"/>
      <w:sz w:val="24"/>
      <w:szCs w:val="24"/>
      <w:lang w:val="en-GB" w:eastAsia="en-GB" w:bidi="ar-SA"/>
    </w:rPr>
  </w:style>
  <w:style w:type="character" w:customStyle="1" w:styleId="Level3Char">
    <w:name w:val="Level 3 Char"/>
    <w:basedOn w:val="DefaultParagraphFont"/>
    <w:link w:val="Level3"/>
    <w:uiPriority w:val="6"/>
    <w:rsid w:val="00A56CE0"/>
    <w:rPr>
      <w:rFonts w:eastAsia="Arial Unicode MS"/>
      <w:sz w:val="21"/>
      <w:szCs w:val="21"/>
      <w:lang w:val="en-GB" w:eastAsia="en-GB" w:bidi="ar-SA"/>
    </w:rPr>
  </w:style>
  <w:style w:type="paragraph" w:customStyle="1" w:styleId="Body2">
    <w:name w:val="Body 2"/>
    <w:basedOn w:val="Normal"/>
    <w:link w:val="Body2Char"/>
    <w:qFormat/>
    <w:rsid w:val="00A56CE0"/>
    <w:pPr>
      <w:spacing w:after="210" w:line="264" w:lineRule="auto"/>
      <w:ind w:left="709"/>
      <w:jc w:val="both"/>
    </w:pPr>
    <w:rPr>
      <w:rFonts w:ascii="Arial" w:eastAsia="Arial Unicode MS" w:hAnsi="Arial"/>
      <w:sz w:val="21"/>
      <w:szCs w:val="21"/>
      <w:lang w:val="en-GB" w:eastAsia="en-GB" w:bidi="ar-SA"/>
    </w:rPr>
  </w:style>
  <w:style w:type="character" w:customStyle="1" w:styleId="Body2Char">
    <w:name w:val="Body 2 Char"/>
    <w:basedOn w:val="DefaultParagraphFont"/>
    <w:link w:val="Body2"/>
    <w:rsid w:val="00A56CE0"/>
    <w:rPr>
      <w:rFonts w:eastAsia="Arial Unicode MS"/>
      <w:sz w:val="21"/>
      <w:szCs w:val="21"/>
      <w:lang w:val="en-GB" w:eastAsia="en-GB" w:bidi="ar-SA"/>
    </w:rPr>
  </w:style>
  <w:style w:type="character" w:styleId="CommentReference">
    <w:name w:val="annotation reference"/>
    <w:basedOn w:val="DefaultParagraphFont"/>
    <w:uiPriority w:val="99"/>
    <w:semiHidden/>
    <w:unhideWhenUsed/>
    <w:rsid w:val="00AB20B9"/>
    <w:rPr>
      <w:sz w:val="16"/>
      <w:szCs w:val="16"/>
    </w:rPr>
  </w:style>
  <w:style w:type="paragraph" w:customStyle="1" w:styleId="SchTitle">
    <w:name w:val="Sch  Title"/>
    <w:basedOn w:val="SchSubtitle"/>
    <w:next w:val="SchSubtitle"/>
    <w:uiPriority w:val="10"/>
    <w:qFormat/>
    <w:rsid w:val="00F94861"/>
    <w:pPr>
      <w:numPr>
        <w:ilvl w:val="0"/>
      </w:numPr>
    </w:pPr>
    <w:rPr>
      <w:smallCaps/>
    </w:rPr>
  </w:style>
  <w:style w:type="paragraph" w:customStyle="1" w:styleId="SchSubtitle">
    <w:name w:val="Sch  Subtitle"/>
    <w:basedOn w:val="Normal"/>
    <w:next w:val="Body2"/>
    <w:uiPriority w:val="11"/>
    <w:qFormat/>
    <w:rsid w:val="00F94861"/>
    <w:pPr>
      <w:keepNext/>
      <w:numPr>
        <w:ilvl w:val="1"/>
        <w:numId w:val="6"/>
      </w:numPr>
      <w:spacing w:after="210" w:line="264" w:lineRule="auto"/>
      <w:jc w:val="center"/>
    </w:pPr>
    <w:rPr>
      <w:rFonts w:ascii="Arial" w:eastAsia="Arial Unicode MS" w:hAnsi="Arial"/>
      <w:b/>
      <w:sz w:val="21"/>
      <w:szCs w:val="21"/>
      <w:lang w:val="en-GB" w:eastAsia="en-GB" w:bidi="ar-SA"/>
    </w:rPr>
  </w:style>
  <w:style w:type="paragraph" w:customStyle="1" w:styleId="SchNumber1">
    <w:name w:val="Sch Number 1"/>
    <w:basedOn w:val="Normal"/>
    <w:next w:val="Body2"/>
    <w:uiPriority w:val="12"/>
    <w:qFormat/>
    <w:rsid w:val="00F94861"/>
    <w:pPr>
      <w:numPr>
        <w:ilvl w:val="2"/>
        <w:numId w:val="6"/>
      </w:numPr>
      <w:tabs>
        <w:tab w:val="clear" w:pos="709"/>
        <w:tab w:val="num" w:pos="1209"/>
      </w:tabs>
      <w:spacing w:after="210" w:line="264" w:lineRule="auto"/>
      <w:ind w:left="1209" w:hanging="360"/>
      <w:jc w:val="both"/>
      <w:outlineLvl w:val="0"/>
    </w:pPr>
    <w:rPr>
      <w:rFonts w:ascii="Arial" w:eastAsia="Arial Unicode MS" w:hAnsi="Arial"/>
      <w:sz w:val="21"/>
      <w:szCs w:val="21"/>
      <w:lang w:val="en-GB" w:eastAsia="en-GB" w:bidi="ar-SA"/>
    </w:rPr>
  </w:style>
  <w:style w:type="paragraph" w:customStyle="1" w:styleId="SchNumber2">
    <w:name w:val="Sch Number 2"/>
    <w:basedOn w:val="Level2"/>
    <w:next w:val="Body2"/>
    <w:uiPriority w:val="12"/>
    <w:qFormat/>
    <w:rsid w:val="00F94861"/>
    <w:pPr>
      <w:numPr>
        <w:ilvl w:val="3"/>
        <w:numId w:val="6"/>
      </w:numPr>
      <w:tabs>
        <w:tab w:val="clear" w:pos="709"/>
        <w:tab w:val="num" w:pos="1209"/>
      </w:tabs>
      <w:ind w:left="1209" w:hanging="360"/>
    </w:pPr>
  </w:style>
  <w:style w:type="paragraph" w:customStyle="1" w:styleId="SchNumber3">
    <w:name w:val="Sch Number 3"/>
    <w:basedOn w:val="Level3"/>
    <w:next w:val="Body2"/>
    <w:uiPriority w:val="12"/>
    <w:qFormat/>
    <w:rsid w:val="00F94861"/>
    <w:pPr>
      <w:numPr>
        <w:ilvl w:val="4"/>
        <w:numId w:val="6"/>
      </w:numPr>
      <w:tabs>
        <w:tab w:val="clear" w:pos="1418"/>
        <w:tab w:val="num" w:pos="1209"/>
      </w:tabs>
      <w:ind w:left="1209" w:hanging="360"/>
    </w:pPr>
  </w:style>
  <w:style w:type="paragraph" w:customStyle="1" w:styleId="SchNumber4">
    <w:name w:val="Sch Number 4"/>
    <w:basedOn w:val="Level4"/>
    <w:next w:val="Normal"/>
    <w:uiPriority w:val="12"/>
    <w:qFormat/>
    <w:rsid w:val="00F94861"/>
    <w:pPr>
      <w:numPr>
        <w:ilvl w:val="5"/>
        <w:numId w:val="6"/>
      </w:numPr>
    </w:pPr>
  </w:style>
  <w:style w:type="paragraph" w:customStyle="1" w:styleId="SchNumber5">
    <w:name w:val="Sch Number 5"/>
    <w:basedOn w:val="Level5"/>
    <w:next w:val="Normal"/>
    <w:uiPriority w:val="12"/>
    <w:qFormat/>
    <w:rsid w:val="00F94861"/>
    <w:pPr>
      <w:numPr>
        <w:ilvl w:val="6"/>
        <w:numId w:val="6"/>
      </w:numPr>
    </w:pPr>
  </w:style>
  <w:style w:type="numbering" w:customStyle="1" w:styleId="SchCustomList">
    <w:name w:val="Sch Custom List"/>
    <w:basedOn w:val="NoList"/>
    <w:uiPriority w:val="99"/>
    <w:rsid w:val="00F94861"/>
    <w:pPr>
      <w:numPr>
        <w:numId w:val="6"/>
      </w:numPr>
    </w:pPr>
  </w:style>
  <w:style w:type="table" w:styleId="LightList-Accent1">
    <w:name w:val="Light List Accent 1"/>
    <w:basedOn w:val="TableNormal"/>
    <w:uiPriority w:val="61"/>
    <w:rsid w:val="00F1068B"/>
    <w:pPr>
      <w:spacing w:after="0" w:line="240" w:lineRule="auto"/>
    </w:pPr>
    <w:tblPr>
      <w:tblStyleRowBandSize w:val="1"/>
      <w:tblStyleColBandSize w:val="1"/>
      <w:tblBorders>
        <w:top w:val="single" w:sz="8" w:space="0" w:color="41C0F0" w:themeColor="accent1"/>
        <w:left w:val="single" w:sz="8" w:space="0" w:color="41C0F0" w:themeColor="accent1"/>
        <w:bottom w:val="single" w:sz="8" w:space="0" w:color="41C0F0" w:themeColor="accent1"/>
        <w:right w:val="single" w:sz="8" w:space="0" w:color="41C0F0" w:themeColor="accent1"/>
      </w:tblBorders>
    </w:tblPr>
    <w:tblStylePr w:type="firstRow">
      <w:pPr>
        <w:spacing w:before="0" w:after="0" w:line="240" w:lineRule="auto"/>
      </w:pPr>
      <w:rPr>
        <w:b/>
        <w:bCs/>
        <w:color w:val="FFFFFF" w:themeColor="background1"/>
      </w:rPr>
      <w:tblPr/>
      <w:tcPr>
        <w:shd w:val="clear" w:color="auto" w:fill="41C0F0" w:themeFill="accent1"/>
      </w:tcPr>
    </w:tblStylePr>
    <w:tblStylePr w:type="lastRow">
      <w:pPr>
        <w:spacing w:before="0" w:after="0" w:line="240" w:lineRule="auto"/>
      </w:pPr>
      <w:rPr>
        <w:b/>
        <w:bCs/>
      </w:rPr>
      <w:tblPr/>
      <w:tcPr>
        <w:tcBorders>
          <w:top w:val="double" w:sz="6" w:space="0" w:color="41C0F0" w:themeColor="accent1"/>
          <w:left w:val="single" w:sz="8" w:space="0" w:color="41C0F0" w:themeColor="accent1"/>
          <w:bottom w:val="single" w:sz="8" w:space="0" w:color="41C0F0" w:themeColor="accent1"/>
          <w:right w:val="single" w:sz="8" w:space="0" w:color="41C0F0" w:themeColor="accent1"/>
        </w:tcBorders>
      </w:tcPr>
    </w:tblStylePr>
    <w:tblStylePr w:type="firstCol">
      <w:rPr>
        <w:b/>
        <w:bCs/>
      </w:rPr>
    </w:tblStylePr>
    <w:tblStylePr w:type="lastCol">
      <w:rPr>
        <w:b/>
        <w:bCs/>
      </w:rPr>
    </w:tblStylePr>
    <w:tblStylePr w:type="band1Vert">
      <w:tblPr/>
      <w:tcPr>
        <w:tcBorders>
          <w:top w:val="single" w:sz="8" w:space="0" w:color="41C0F0" w:themeColor="accent1"/>
          <w:left w:val="single" w:sz="8" w:space="0" w:color="41C0F0" w:themeColor="accent1"/>
          <w:bottom w:val="single" w:sz="8" w:space="0" w:color="41C0F0" w:themeColor="accent1"/>
          <w:right w:val="single" w:sz="8" w:space="0" w:color="41C0F0" w:themeColor="accent1"/>
        </w:tcBorders>
      </w:tcPr>
    </w:tblStylePr>
    <w:tblStylePr w:type="band1Horz">
      <w:tblPr/>
      <w:tcPr>
        <w:tcBorders>
          <w:top w:val="single" w:sz="8" w:space="0" w:color="41C0F0" w:themeColor="accent1"/>
          <w:left w:val="single" w:sz="8" w:space="0" w:color="41C0F0" w:themeColor="accent1"/>
          <w:bottom w:val="single" w:sz="8" w:space="0" w:color="41C0F0" w:themeColor="accent1"/>
          <w:right w:val="single" w:sz="8" w:space="0" w:color="41C0F0" w:themeColor="accent1"/>
        </w:tcBorders>
      </w:tcPr>
    </w:tblStylePr>
  </w:style>
  <w:style w:type="paragraph" w:styleId="CommentText">
    <w:name w:val="annotation text"/>
    <w:basedOn w:val="Normal"/>
    <w:link w:val="CommentTextChar"/>
    <w:uiPriority w:val="99"/>
    <w:unhideWhenUsed/>
    <w:rsid w:val="00772296"/>
    <w:pPr>
      <w:spacing w:line="240" w:lineRule="auto"/>
    </w:pPr>
  </w:style>
  <w:style w:type="character" w:customStyle="1" w:styleId="CommentTextChar">
    <w:name w:val="Comment Text Char"/>
    <w:basedOn w:val="DefaultParagraphFont"/>
    <w:link w:val="CommentText"/>
    <w:uiPriority w:val="99"/>
    <w:rsid w:val="00772296"/>
    <w:rPr>
      <w:rFonts w:ascii="Segoe UI" w:hAnsi="Segoe UI"/>
    </w:rPr>
  </w:style>
  <w:style w:type="paragraph" w:styleId="CommentSubject">
    <w:name w:val="annotation subject"/>
    <w:basedOn w:val="CommentText"/>
    <w:next w:val="CommentText"/>
    <w:link w:val="CommentSubjectChar"/>
    <w:uiPriority w:val="99"/>
    <w:semiHidden/>
    <w:unhideWhenUsed/>
    <w:rsid w:val="00772296"/>
    <w:rPr>
      <w:b/>
      <w:bCs/>
    </w:rPr>
  </w:style>
  <w:style w:type="character" w:customStyle="1" w:styleId="CommentSubjectChar">
    <w:name w:val="Comment Subject Char"/>
    <w:basedOn w:val="CommentTextChar"/>
    <w:link w:val="CommentSubject"/>
    <w:uiPriority w:val="99"/>
    <w:semiHidden/>
    <w:rsid w:val="00772296"/>
    <w:rPr>
      <w:rFonts w:ascii="Segoe UI" w:hAnsi="Segoe UI"/>
      <w:b/>
      <w:bCs/>
    </w:rPr>
  </w:style>
  <w:style w:type="paragraph" w:styleId="Revision">
    <w:name w:val="Revision"/>
    <w:hidden/>
    <w:uiPriority w:val="99"/>
    <w:semiHidden/>
    <w:rsid w:val="005D3425"/>
    <w:pPr>
      <w:spacing w:after="0" w:line="240" w:lineRule="auto"/>
    </w:pPr>
    <w:rPr>
      <w:rFonts w:ascii="Segoe UI" w:hAnsi="Segoe UI"/>
    </w:rPr>
  </w:style>
  <w:style w:type="paragraph" w:customStyle="1" w:styleId="bwTableText">
    <w:name w:val="bwTableText"/>
    <w:basedOn w:val="NoSpacing"/>
    <w:qFormat/>
    <w:rsid w:val="00C4041E"/>
    <w:pPr>
      <w:keepNext/>
    </w:pPr>
    <w:rPr>
      <w:lang w:bidi="ar-SA"/>
    </w:rPr>
  </w:style>
  <w:style w:type="table" w:customStyle="1" w:styleId="bwTable">
    <w:name w:val="bwTable"/>
    <w:basedOn w:val="TableNormal"/>
    <w:uiPriority w:val="99"/>
    <w:qFormat/>
    <w:rsid w:val="00C4041E"/>
    <w:pPr>
      <w:spacing w:after="0" w:line="240" w:lineRule="auto"/>
    </w:pPr>
    <w:tblPr>
      <w:tblStyleRowBandSize w:val="1"/>
      <w:tblStyleColBandSize w:val="1"/>
      <w:tblBorders>
        <w:top w:val="single" w:sz="4" w:space="0" w:color="009FE3" w:themeColor="background2"/>
        <w:left w:val="single" w:sz="4" w:space="0" w:color="009FE3" w:themeColor="background2"/>
        <w:bottom w:val="single" w:sz="4" w:space="0" w:color="009FE3" w:themeColor="background2"/>
        <w:right w:val="single" w:sz="4" w:space="0" w:color="009FE3" w:themeColor="background2"/>
        <w:insideH w:val="single" w:sz="4" w:space="0" w:color="009FE3" w:themeColor="background2"/>
        <w:insideV w:val="single" w:sz="4" w:space="0" w:color="009FE3" w:themeColor="background2"/>
      </w:tblBorders>
      <w:tblCellMar>
        <w:top w:w="108" w:type="dxa"/>
        <w:bottom w:w="108" w:type="dxa"/>
      </w:tblCellMar>
    </w:tblPr>
    <w:tcPr>
      <w:vAlign w:val="center"/>
    </w:tcPr>
    <w:tblStylePr w:type="firstRow">
      <w:rPr>
        <w:b w:val="0"/>
        <w:color w:val="41C0F0" w:themeColor="accent1"/>
      </w:rPr>
      <w:tblPr/>
      <w:tcPr>
        <w:tcBorders>
          <w:top w:val="single" w:sz="4" w:space="0" w:color="41C0F0" w:themeColor="accent1"/>
          <w:left w:val="nil"/>
          <w:bottom w:val="single" w:sz="4" w:space="0" w:color="41C0F0" w:themeColor="accent1"/>
          <w:right w:val="nil"/>
          <w:insideH w:val="nil"/>
          <w:insideV w:val="nil"/>
          <w:tl2br w:val="nil"/>
          <w:tr2bl w:val="nil"/>
        </w:tcBorders>
      </w:tcPr>
    </w:tblStylePr>
    <w:tblStylePr w:type="lastRow">
      <w:tblPr/>
      <w:tcPr>
        <w:tcBorders>
          <w:top w:val="single" w:sz="4" w:space="0" w:color="BFBFBF" w:themeColor="background1" w:themeShade="BF"/>
          <w:left w:val="nil"/>
          <w:bottom w:val="nil"/>
          <w:right w:val="nil"/>
          <w:insideH w:val="nil"/>
          <w:insideV w:val="nil"/>
          <w:tl2br w:val="nil"/>
          <w:tr2bl w:val="nil"/>
        </w:tcBorders>
      </w:tcPr>
    </w:tblStylePr>
    <w:tblStylePr w:type="band1Horz">
      <w:tblPr/>
      <w:tcPr>
        <w:tcBorders>
          <w:top w:val="single" w:sz="4" w:space="0" w:color="BFBFBF" w:themeColor="background1" w:themeShade="BF"/>
          <w:left w:val="nil"/>
          <w:bottom w:val="nil"/>
          <w:right w:val="nil"/>
          <w:insideH w:val="nil"/>
          <w:insideV w:val="nil"/>
          <w:tl2br w:val="nil"/>
          <w:tr2bl w:val="nil"/>
        </w:tcBorders>
      </w:tcPr>
    </w:tblStylePr>
    <w:tblStylePr w:type="band2Horz">
      <w:tblPr/>
      <w:tcPr>
        <w:tcBorders>
          <w:top w:val="single" w:sz="4" w:space="0" w:color="BFBFBF" w:themeColor="background1" w:themeShade="BF"/>
          <w:left w:val="nil"/>
          <w:bottom w:val="nil"/>
          <w:right w:val="nil"/>
          <w:insideH w:val="nil"/>
          <w:insideV w:val="nil"/>
          <w:tl2br w:val="nil"/>
          <w:tr2bl w:val="nil"/>
        </w:tcBorders>
      </w:tcPr>
    </w:tblStylePr>
  </w:style>
  <w:style w:type="table" w:customStyle="1" w:styleId="TableGridLight1">
    <w:name w:val="Table Grid Light1"/>
    <w:basedOn w:val="TableNormal"/>
    <w:uiPriority w:val="40"/>
    <w:rsid w:val="009B22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jectChar">
    <w:name w:val="Subject Char"/>
    <w:basedOn w:val="DefaultParagraphFont"/>
    <w:link w:val="Subject"/>
    <w:rsid w:val="00BF1F42"/>
    <w:rPr>
      <w:rFonts w:ascii="Segoe UI" w:hAnsi="Segoe UI" w:cstheme="minorBidi"/>
      <w:b/>
      <w:color w:val="1192D1"/>
      <w:sz w:val="22"/>
      <w:szCs w:val="22"/>
      <w:lang w:val="en-GB" w:bidi="ar-SA"/>
    </w:rPr>
  </w:style>
  <w:style w:type="character" w:customStyle="1" w:styleId="LetterSubheadingChar">
    <w:name w:val="Letter Subheading Char"/>
    <w:basedOn w:val="SubjectChar"/>
    <w:link w:val="LetterSubheading"/>
    <w:uiPriority w:val="1"/>
    <w:rsid w:val="007D4681"/>
    <w:rPr>
      <w:rFonts w:ascii="Segoe UI" w:hAnsi="Segoe UI" w:cstheme="minorBidi"/>
      <w:b/>
      <w:color w:val="1192D1"/>
      <w:sz w:val="22"/>
      <w:szCs w:val="22"/>
      <w:lang w:val="en-GB" w:bidi="ar-SA"/>
    </w:rPr>
  </w:style>
  <w:style w:type="paragraph" w:customStyle="1" w:styleId="NumberedList">
    <w:name w:val="Numbered List"/>
    <w:basedOn w:val="List"/>
    <w:link w:val="NumberedListChar"/>
    <w:qFormat/>
    <w:rsid w:val="007D4681"/>
    <w:pPr>
      <w:numPr>
        <w:numId w:val="7"/>
      </w:numPr>
    </w:pPr>
    <w:rPr>
      <w:lang w:bidi="ar-SA"/>
    </w:rPr>
  </w:style>
  <w:style w:type="paragraph" w:customStyle="1" w:styleId="Frontpageheader1">
    <w:name w:val="Front page header 1"/>
    <w:basedOn w:val="Heading1"/>
    <w:link w:val="Frontpageheader1Char"/>
    <w:qFormat/>
    <w:rsid w:val="005B2B68"/>
    <w:pPr>
      <w:numPr>
        <w:numId w:val="0"/>
      </w:numPr>
      <w:spacing w:before="0"/>
    </w:pPr>
    <w:rPr>
      <w:szCs w:val="56"/>
    </w:rPr>
  </w:style>
  <w:style w:type="character" w:customStyle="1" w:styleId="ListChar">
    <w:name w:val="List Char"/>
    <w:basedOn w:val="DefaultParagraphFont"/>
    <w:link w:val="List"/>
    <w:rsid w:val="007D4681"/>
    <w:rPr>
      <w:rFonts w:ascii="Segoe UI" w:hAnsi="Segoe UI"/>
      <w:lang w:val="en-GB"/>
    </w:rPr>
  </w:style>
  <w:style w:type="character" w:customStyle="1" w:styleId="NumberedListChar">
    <w:name w:val="Numbered List Char"/>
    <w:basedOn w:val="ListChar"/>
    <w:link w:val="NumberedList"/>
    <w:rsid w:val="007D4681"/>
    <w:rPr>
      <w:rFonts w:ascii="Segoe UI" w:hAnsi="Segoe UI"/>
      <w:lang w:val="en-GB" w:bidi="ar-SA"/>
    </w:rPr>
  </w:style>
  <w:style w:type="paragraph" w:customStyle="1" w:styleId="Frontpagedetails">
    <w:name w:val="Front page details"/>
    <w:basedOn w:val="Frontpageheader1"/>
    <w:link w:val="FrontpagedetailsChar"/>
    <w:qFormat/>
    <w:rsid w:val="007D4681"/>
    <w:rPr>
      <w:color w:val="797979"/>
      <w:szCs w:val="36"/>
    </w:rPr>
  </w:style>
  <w:style w:type="character" w:customStyle="1" w:styleId="Frontpageheader1Char">
    <w:name w:val="Front page header 1 Char"/>
    <w:basedOn w:val="Heading1Char"/>
    <w:link w:val="Frontpageheader1"/>
    <w:rsid w:val="005B2B68"/>
    <w:rPr>
      <w:rFonts w:ascii="Segoe UI Semibold" w:hAnsi="Segoe UI Semibold"/>
      <w:bCs/>
      <w:iCs/>
      <w:color w:val="009FE3" w:themeColor="background2"/>
      <w:sz w:val="24"/>
      <w:szCs w:val="56"/>
      <w:lang w:val="en-GB" w:eastAsia="en-GB" w:bidi="ar-SA"/>
    </w:rPr>
  </w:style>
  <w:style w:type="paragraph" w:customStyle="1" w:styleId="Frontpagedate">
    <w:name w:val="Front page date"/>
    <w:basedOn w:val="Frontpagedetails"/>
    <w:link w:val="FrontpagedateChar"/>
    <w:qFormat/>
    <w:rsid w:val="007D4681"/>
    <w:rPr>
      <w:sz w:val="16"/>
    </w:rPr>
  </w:style>
  <w:style w:type="character" w:customStyle="1" w:styleId="FrontpagedetailsChar">
    <w:name w:val="Front page details Char"/>
    <w:basedOn w:val="Frontpageheader1Char"/>
    <w:link w:val="Frontpagedetails"/>
    <w:rsid w:val="007D4681"/>
    <w:rPr>
      <w:rFonts w:ascii="Segoe UI Semibold" w:eastAsiaTheme="majorEastAsia" w:hAnsi="Segoe UI Semibold"/>
      <w:b w:val="0"/>
      <w:bCs/>
      <w:iCs/>
      <w:color w:val="797979"/>
      <w:kern w:val="32"/>
      <w:sz w:val="24"/>
      <w:szCs w:val="36"/>
      <w:lang w:val="en-GB" w:eastAsia="en-GB" w:bidi="ar-SA"/>
    </w:rPr>
  </w:style>
  <w:style w:type="character" w:customStyle="1" w:styleId="FrontpagedateChar">
    <w:name w:val="Front page date Char"/>
    <w:basedOn w:val="FrontpagedetailsChar"/>
    <w:link w:val="Frontpagedate"/>
    <w:rsid w:val="007D4681"/>
    <w:rPr>
      <w:rFonts w:ascii="Segoe UI Semibold" w:eastAsiaTheme="majorEastAsia" w:hAnsi="Segoe UI Semibold"/>
      <w:b w:val="0"/>
      <w:bCs/>
      <w:iCs/>
      <w:color w:val="797979"/>
      <w:kern w:val="32"/>
      <w:sz w:val="16"/>
      <w:szCs w:val="36"/>
      <w:lang w:val="en-GB" w:eastAsia="en-GB" w:bidi="ar-SA"/>
    </w:rPr>
  </w:style>
  <w:style w:type="character" w:customStyle="1" w:styleId="legamendingtext">
    <w:name w:val="legamendingtext"/>
    <w:basedOn w:val="DefaultParagraphFont"/>
    <w:rsid w:val="007D4681"/>
  </w:style>
  <w:style w:type="table" w:customStyle="1" w:styleId="TableGrid1">
    <w:name w:val="Table Grid1"/>
    <w:basedOn w:val="TableNormal"/>
    <w:next w:val="TableGrid"/>
    <w:uiPriority w:val="39"/>
    <w:rsid w:val="007D4681"/>
    <w:pPr>
      <w:spacing w:after="0" w:line="240" w:lineRule="auto"/>
    </w:pPr>
    <w:rPr>
      <w:rFonts w:asciiTheme="minorHAnsi" w:hAnsiTheme="minorHAnsi" w:cstheme="minorBidi"/>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681"/>
    <w:pPr>
      <w:autoSpaceDE w:val="0"/>
      <w:autoSpaceDN w:val="0"/>
      <w:adjustRightInd w:val="0"/>
      <w:spacing w:after="0" w:line="240" w:lineRule="auto"/>
    </w:pPr>
    <w:rPr>
      <w:rFonts w:ascii="Segoe UI" w:hAnsi="Segoe UI" w:cs="Segoe UI"/>
      <w:color w:val="000000"/>
      <w:sz w:val="24"/>
      <w:szCs w:val="24"/>
      <w:lang w:val="en-GB" w:bidi="ar-SA"/>
    </w:rPr>
  </w:style>
  <w:style w:type="character" w:customStyle="1" w:styleId="A3">
    <w:name w:val="A3"/>
    <w:uiPriority w:val="99"/>
    <w:rsid w:val="00F24FC4"/>
    <w:rPr>
      <w:rFonts w:cs="Georgia"/>
      <w:color w:val="000000"/>
      <w:sz w:val="20"/>
      <w:szCs w:val="20"/>
    </w:rPr>
  </w:style>
  <w:style w:type="table" w:styleId="PlainTable1">
    <w:name w:val="Plain Table 1"/>
    <w:basedOn w:val="TableNormal"/>
    <w:uiPriority w:val="41"/>
    <w:rsid w:val="005E00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46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6044">
      <w:bodyDiv w:val="1"/>
      <w:marLeft w:val="0"/>
      <w:marRight w:val="0"/>
      <w:marTop w:val="0"/>
      <w:marBottom w:val="0"/>
      <w:divBdr>
        <w:top w:val="none" w:sz="0" w:space="0" w:color="auto"/>
        <w:left w:val="none" w:sz="0" w:space="0" w:color="auto"/>
        <w:bottom w:val="none" w:sz="0" w:space="0" w:color="auto"/>
        <w:right w:val="none" w:sz="0" w:space="0" w:color="auto"/>
      </w:divBdr>
    </w:div>
    <w:div w:id="568273467">
      <w:bodyDiv w:val="1"/>
      <w:marLeft w:val="0"/>
      <w:marRight w:val="0"/>
      <w:marTop w:val="0"/>
      <w:marBottom w:val="0"/>
      <w:divBdr>
        <w:top w:val="none" w:sz="0" w:space="0" w:color="auto"/>
        <w:left w:val="none" w:sz="0" w:space="0" w:color="auto"/>
        <w:bottom w:val="none" w:sz="0" w:space="0" w:color="auto"/>
        <w:right w:val="none" w:sz="0" w:space="0" w:color="auto"/>
      </w:divBdr>
    </w:div>
    <w:div w:id="607783919">
      <w:bodyDiv w:val="1"/>
      <w:marLeft w:val="0"/>
      <w:marRight w:val="0"/>
      <w:marTop w:val="0"/>
      <w:marBottom w:val="0"/>
      <w:divBdr>
        <w:top w:val="none" w:sz="0" w:space="0" w:color="auto"/>
        <w:left w:val="none" w:sz="0" w:space="0" w:color="auto"/>
        <w:bottom w:val="none" w:sz="0" w:space="0" w:color="auto"/>
        <w:right w:val="none" w:sz="0" w:space="0" w:color="auto"/>
      </w:divBdr>
    </w:div>
    <w:div w:id="790707166">
      <w:bodyDiv w:val="1"/>
      <w:marLeft w:val="0"/>
      <w:marRight w:val="0"/>
      <w:marTop w:val="0"/>
      <w:marBottom w:val="0"/>
      <w:divBdr>
        <w:top w:val="none" w:sz="0" w:space="0" w:color="auto"/>
        <w:left w:val="none" w:sz="0" w:space="0" w:color="auto"/>
        <w:bottom w:val="none" w:sz="0" w:space="0" w:color="auto"/>
        <w:right w:val="none" w:sz="0" w:space="0" w:color="auto"/>
      </w:divBdr>
    </w:div>
    <w:div w:id="923609245">
      <w:bodyDiv w:val="1"/>
      <w:marLeft w:val="0"/>
      <w:marRight w:val="0"/>
      <w:marTop w:val="0"/>
      <w:marBottom w:val="0"/>
      <w:divBdr>
        <w:top w:val="none" w:sz="0" w:space="0" w:color="auto"/>
        <w:left w:val="none" w:sz="0" w:space="0" w:color="auto"/>
        <w:bottom w:val="none" w:sz="0" w:space="0" w:color="auto"/>
        <w:right w:val="none" w:sz="0" w:space="0" w:color="auto"/>
      </w:divBdr>
    </w:div>
    <w:div w:id="982655764">
      <w:bodyDiv w:val="1"/>
      <w:marLeft w:val="0"/>
      <w:marRight w:val="0"/>
      <w:marTop w:val="0"/>
      <w:marBottom w:val="0"/>
      <w:divBdr>
        <w:top w:val="none" w:sz="0" w:space="0" w:color="auto"/>
        <w:left w:val="none" w:sz="0" w:space="0" w:color="auto"/>
        <w:bottom w:val="none" w:sz="0" w:space="0" w:color="auto"/>
        <w:right w:val="none" w:sz="0" w:space="0" w:color="auto"/>
      </w:divBdr>
    </w:div>
    <w:div w:id="1125348983">
      <w:bodyDiv w:val="1"/>
      <w:marLeft w:val="0"/>
      <w:marRight w:val="0"/>
      <w:marTop w:val="0"/>
      <w:marBottom w:val="0"/>
      <w:divBdr>
        <w:top w:val="none" w:sz="0" w:space="0" w:color="auto"/>
        <w:left w:val="none" w:sz="0" w:space="0" w:color="auto"/>
        <w:bottom w:val="none" w:sz="0" w:space="0" w:color="auto"/>
        <w:right w:val="none" w:sz="0" w:space="0" w:color="auto"/>
      </w:divBdr>
    </w:div>
    <w:div w:id="1311443608">
      <w:bodyDiv w:val="1"/>
      <w:marLeft w:val="0"/>
      <w:marRight w:val="0"/>
      <w:marTop w:val="0"/>
      <w:marBottom w:val="0"/>
      <w:divBdr>
        <w:top w:val="none" w:sz="0" w:space="0" w:color="auto"/>
        <w:left w:val="none" w:sz="0" w:space="0" w:color="auto"/>
        <w:bottom w:val="none" w:sz="0" w:space="0" w:color="auto"/>
        <w:right w:val="none" w:sz="0" w:space="0" w:color="auto"/>
      </w:divBdr>
    </w:div>
    <w:div w:id="1345984593">
      <w:bodyDiv w:val="1"/>
      <w:marLeft w:val="0"/>
      <w:marRight w:val="0"/>
      <w:marTop w:val="0"/>
      <w:marBottom w:val="0"/>
      <w:divBdr>
        <w:top w:val="none" w:sz="0" w:space="0" w:color="auto"/>
        <w:left w:val="none" w:sz="0" w:space="0" w:color="auto"/>
        <w:bottom w:val="none" w:sz="0" w:space="0" w:color="auto"/>
        <w:right w:val="none" w:sz="0" w:space="0" w:color="auto"/>
      </w:divBdr>
    </w:div>
    <w:div w:id="1415930306">
      <w:bodyDiv w:val="1"/>
      <w:marLeft w:val="0"/>
      <w:marRight w:val="0"/>
      <w:marTop w:val="0"/>
      <w:marBottom w:val="0"/>
      <w:divBdr>
        <w:top w:val="none" w:sz="0" w:space="0" w:color="auto"/>
        <w:left w:val="none" w:sz="0" w:space="0" w:color="auto"/>
        <w:bottom w:val="none" w:sz="0" w:space="0" w:color="auto"/>
        <w:right w:val="none" w:sz="0" w:space="0" w:color="auto"/>
      </w:divBdr>
    </w:div>
    <w:div w:id="1887988935">
      <w:bodyDiv w:val="1"/>
      <w:marLeft w:val="0"/>
      <w:marRight w:val="0"/>
      <w:marTop w:val="0"/>
      <w:marBottom w:val="0"/>
      <w:divBdr>
        <w:top w:val="none" w:sz="0" w:space="0" w:color="auto"/>
        <w:left w:val="none" w:sz="0" w:space="0" w:color="auto"/>
        <w:bottom w:val="none" w:sz="0" w:space="0" w:color="auto"/>
        <w:right w:val="none" w:sz="0" w:space="0" w:color="auto"/>
      </w:divBdr>
    </w:div>
    <w:div w:id="1986231386">
      <w:bodyDiv w:val="1"/>
      <w:marLeft w:val="0"/>
      <w:marRight w:val="0"/>
      <w:marTop w:val="0"/>
      <w:marBottom w:val="0"/>
      <w:divBdr>
        <w:top w:val="none" w:sz="0" w:space="0" w:color="auto"/>
        <w:left w:val="none" w:sz="0" w:space="0" w:color="auto"/>
        <w:bottom w:val="none" w:sz="0" w:space="0" w:color="auto"/>
        <w:right w:val="none" w:sz="0" w:space="0" w:color="auto"/>
      </w:divBdr>
      <w:divsChild>
        <w:div w:id="1969777041">
          <w:marLeft w:val="0"/>
          <w:marRight w:val="0"/>
          <w:marTop w:val="0"/>
          <w:marBottom w:val="0"/>
          <w:divBdr>
            <w:top w:val="none" w:sz="0" w:space="0" w:color="auto"/>
            <w:left w:val="none" w:sz="0" w:space="0" w:color="auto"/>
            <w:bottom w:val="none" w:sz="0" w:space="0" w:color="auto"/>
            <w:right w:val="none" w:sz="0" w:space="0" w:color="auto"/>
          </w:divBdr>
          <w:divsChild>
            <w:div w:id="12607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arnett Waddingham">
  <a:themeElements>
    <a:clrScheme name="Barnett Waddingham">
      <a:dk1>
        <a:sysClr val="windowText" lastClr="000000"/>
      </a:dk1>
      <a:lt1>
        <a:sysClr val="window" lastClr="FFFFFF"/>
      </a:lt1>
      <a:dk2>
        <a:srgbClr val="0069B4"/>
      </a:dk2>
      <a:lt2>
        <a:srgbClr val="009FE3"/>
      </a:lt2>
      <a:accent1>
        <a:srgbClr val="41C0F0"/>
      </a:accent1>
      <a:accent2>
        <a:srgbClr val="A1DAF8"/>
      </a:accent2>
      <a:accent3>
        <a:srgbClr val="797979"/>
      </a:accent3>
      <a:accent4>
        <a:srgbClr val="C0C0C0"/>
      </a:accent4>
      <a:accent5>
        <a:srgbClr val="68C0B5"/>
      </a:accent5>
      <a:accent6>
        <a:srgbClr val="F5DE7A"/>
      </a:accent6>
      <a:hlink>
        <a:srgbClr val="1192D1"/>
      </a:hlink>
      <a:folHlink>
        <a:srgbClr val="4B08A1"/>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C3991C-5454-4CB7-A5B6-4DF9B21A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2023-08-22T11:02:00Z</dcterms:created>
  <dcterms:modified xsi:type="dcterms:W3CDTF">2023-08-22T11:10:00Z</dcterms:modified>
</cp:coreProperties>
</file>